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 xml:space="preserve">…………………….. </w:t>
      </w:r>
      <w:r>
        <w:rPr>
          <w:rFonts w:asciiTheme="minorHAnsi" w:hAnsiTheme="minorHAnsi" w:cstheme="minorHAnsi"/>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3274063F" w:rsidR="00B1095C" w:rsidRPr="00354048" w:rsidRDefault="0097369B" w:rsidP="00354048">
      <w:pPr>
        <w:widowControl w:val="0"/>
        <w:suppressAutoHyphens/>
        <w:spacing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9C6266" w:rsidRPr="009C6266">
        <w:rPr>
          <w:rFonts w:cs="Calibri"/>
          <w:b/>
          <w:bCs/>
          <w:lang w:eastAsia="zh-CN"/>
        </w:rPr>
        <w:t>Spinální endoskopický systém</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9D7172A"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 xml:space="preserve">spotřebního materiálu </w:t>
      </w:r>
      <w:r w:rsidR="009C6266">
        <w:rPr>
          <w:rFonts w:cs="Calibri"/>
        </w:rPr>
        <w:t>na 50 výkonů</w:t>
      </w:r>
      <w:r w:rsidR="00354048">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w:t>
      </w:r>
      <w:r w:rsidR="006D34AE">
        <w:rPr>
          <w:rFonts w:cs="Calibri"/>
        </w:rPr>
        <w:t>1</w:t>
      </w:r>
      <w:r w:rsidR="00F95358">
        <w:rPr>
          <w:rFonts w:cs="Calibri"/>
        </w:rPr>
        <w:t xml:space="preserve"> „</w:t>
      </w:r>
      <w:r w:rsidR="006D34AE">
        <w:rPr>
          <w:rFonts w:cs="Calibri"/>
        </w:rPr>
        <w:t>Dílčí specifikace ceny</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1E265755" w14:textId="77777777" w:rsidR="000E513E" w:rsidRPr="00996CF5" w:rsidRDefault="000E513E"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1C165B70" w14:textId="77777777" w:rsidR="009C6266" w:rsidRDefault="009C6266" w:rsidP="00181562">
      <w:pPr>
        <w:tabs>
          <w:tab w:val="left" w:pos="709"/>
        </w:tabs>
        <w:autoSpaceDE w:val="0"/>
        <w:autoSpaceDN w:val="0"/>
        <w:adjustRightInd w:val="0"/>
        <w:spacing w:after="0" w:line="240" w:lineRule="auto"/>
        <w:ind w:left="709" w:hanging="709"/>
        <w:jc w:val="both"/>
        <w:rPr>
          <w:rFonts w:eastAsia="Calibri" w:cs="Arial"/>
          <w:b/>
          <w:bCs/>
          <w:lang w:eastAsia="en-US"/>
        </w:rPr>
      </w:pPr>
      <w:r>
        <w:rPr>
          <w:rFonts w:eastAsia="Calibri" w:cs="Arial"/>
          <w:b/>
          <w:bCs/>
          <w:lang w:eastAsia="en-US"/>
        </w:rPr>
        <w:tab/>
      </w:r>
      <w:r w:rsidRPr="009C6266">
        <w:rPr>
          <w:rFonts w:eastAsia="Calibri" w:cs="Arial"/>
          <w:b/>
          <w:bCs/>
          <w:lang w:eastAsia="en-US"/>
        </w:rPr>
        <w:t>Pardubická nemocnice, Kyjevská 44, 532 03 Pardubice (CUP – centrální operační sály neurochirurgie)</w:t>
      </w:r>
    </w:p>
    <w:p w14:paraId="20CAB20E" w14:textId="1E59F681" w:rsidR="00181562" w:rsidRPr="00D51248"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D51248">
        <w:t>Prodávající je povinen dodávat kupujícímu zboží</w:t>
      </w:r>
      <w:r w:rsidR="00181562" w:rsidRPr="00D51248">
        <w:t xml:space="preserve"> </w:t>
      </w:r>
      <w:r w:rsidR="00F95358" w:rsidRPr="00D51248">
        <w:t xml:space="preserve">průběžně dle aktuálních provozních potřeb kupujícího, a to </w:t>
      </w:r>
      <w:r w:rsidR="00F95358" w:rsidRPr="00D51248">
        <w:rPr>
          <w:b/>
          <w:bCs/>
        </w:rPr>
        <w:t xml:space="preserve">po dobu </w:t>
      </w:r>
      <w:r w:rsidR="00D51248" w:rsidRPr="00D51248">
        <w:rPr>
          <w:b/>
          <w:bCs/>
        </w:rPr>
        <w:t>3</w:t>
      </w:r>
      <w:r w:rsidR="00D43244" w:rsidRPr="00D51248">
        <w:rPr>
          <w:b/>
          <w:bCs/>
        </w:rPr>
        <w:t xml:space="preserve"> </w:t>
      </w:r>
      <w:r w:rsidR="000D39D5" w:rsidRPr="00D51248">
        <w:rPr>
          <w:b/>
          <w:bCs/>
        </w:rPr>
        <w:t>let</w:t>
      </w:r>
      <w:r w:rsidR="00F95358" w:rsidRPr="00D51248">
        <w:t>.</w:t>
      </w:r>
    </w:p>
    <w:p w14:paraId="12470878" w14:textId="67E64D9C" w:rsidR="00C7469D" w:rsidRPr="00D51248"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D51248">
        <w:rPr>
          <w:rFonts w:eastAsia="Calibri" w:cs="Arial"/>
          <w:b/>
          <w:color w:val="000000"/>
          <w:lang w:eastAsia="zh-CN"/>
        </w:rPr>
        <w:t>2.3</w:t>
      </w:r>
      <w:r w:rsidRPr="00D51248">
        <w:rPr>
          <w:rFonts w:eastAsia="Calibri" w:cs="Arial"/>
          <w:color w:val="000000"/>
          <w:lang w:eastAsia="zh-CN"/>
        </w:rPr>
        <w:t xml:space="preserve"> </w:t>
      </w:r>
      <w:r w:rsidRPr="00D51248">
        <w:rPr>
          <w:rFonts w:eastAsia="Calibri" w:cs="Arial"/>
          <w:color w:val="000000"/>
          <w:lang w:eastAsia="zh-CN"/>
        </w:rPr>
        <w:tab/>
      </w:r>
      <w:r w:rsidR="00C7469D" w:rsidRPr="00D51248">
        <w:rPr>
          <w:rFonts w:cs="Calibri"/>
        </w:rPr>
        <w:t>Termín zahájení dodávek spotřebního materiálu začíná od prvního dne po dodání a protokolární</w:t>
      </w:r>
      <w:r w:rsidR="003A2101" w:rsidRPr="00D51248">
        <w:rPr>
          <w:rFonts w:cs="Calibri"/>
        </w:rPr>
        <w:t>m</w:t>
      </w:r>
      <w:r w:rsidR="00C7469D" w:rsidRPr="00D51248">
        <w:rPr>
          <w:rFonts w:cs="Calibri"/>
        </w:rPr>
        <w:t xml:space="preserve"> převzetí </w:t>
      </w:r>
      <w:r w:rsidR="006D34AE">
        <w:rPr>
          <w:rFonts w:cs="Calibri"/>
        </w:rPr>
        <w:t>spinálního endoskopického systému</w:t>
      </w:r>
      <w:r w:rsidR="00C7469D" w:rsidRPr="00D51248">
        <w:rPr>
          <w:rFonts w:cs="Calibri"/>
        </w:rPr>
        <w:t xml:space="preserve">. </w:t>
      </w:r>
    </w:p>
    <w:p w14:paraId="51EB63F3" w14:textId="7C46F38A"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sidRPr="00D51248">
        <w:rPr>
          <w:b/>
        </w:rPr>
        <w:t xml:space="preserve">2.4 </w:t>
      </w:r>
      <w:r w:rsidRPr="00D51248">
        <w:rPr>
          <w:b/>
        </w:rPr>
        <w:tab/>
      </w:r>
      <w:bookmarkStart w:id="0" w:name="_Hlk134187657"/>
      <w:r w:rsidR="00A178B2" w:rsidRPr="00D51248">
        <w:rPr>
          <w:b/>
        </w:rPr>
        <w:t xml:space="preserve">Dodací lhůta činí </w:t>
      </w:r>
      <w:r w:rsidR="00D64DF1" w:rsidRPr="00D51248">
        <w:rPr>
          <w:b/>
        </w:rPr>
        <w:t>3</w:t>
      </w:r>
      <w:r w:rsidR="00A178B2" w:rsidRPr="00D51248">
        <w:rPr>
          <w:b/>
        </w:rPr>
        <w:t xml:space="preserve"> pracovní d</w:t>
      </w:r>
      <w:r w:rsidR="000F15C8" w:rsidRPr="00D51248">
        <w:rPr>
          <w:b/>
        </w:rPr>
        <w:t>n</w:t>
      </w:r>
      <w:r w:rsidR="00D64DF1" w:rsidRPr="00D51248">
        <w:rPr>
          <w:b/>
        </w:rPr>
        <w:t>y</w:t>
      </w:r>
      <w:r w:rsidR="00A178B2" w:rsidRPr="00D51248">
        <w:rPr>
          <w:b/>
        </w:rPr>
        <w:t xml:space="preserve"> od doručení dílčí objednávky prodávajícímu</w:t>
      </w:r>
      <w:r w:rsidR="00A178B2" w:rsidRPr="00D51248">
        <w:t>.</w:t>
      </w:r>
      <w:r w:rsidR="00A178B2" w:rsidRPr="0090742B">
        <w:t xml:space="preserve"> </w:t>
      </w:r>
      <w:bookmarkEnd w:id="0"/>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5C2C4052" w14:textId="77777777" w:rsidR="000E513E" w:rsidRPr="00D64DF1" w:rsidRDefault="000E513E" w:rsidP="00D64DF1">
      <w:pPr>
        <w:autoSpaceDE w:val="0"/>
        <w:autoSpaceDN w:val="0"/>
        <w:adjustRightInd w:val="0"/>
        <w:spacing w:after="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lastRenderedPageBreak/>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4F3C41C0" w14:textId="4AE4CDA7" w:rsidR="000228BB" w:rsidRPr="00BD69BC" w:rsidRDefault="000228BB" w:rsidP="00BD69BC">
      <w:pPr>
        <w:spacing w:after="0" w:line="240" w:lineRule="auto"/>
        <w:ind w:left="705" w:hanging="705"/>
        <w:jc w:val="both"/>
      </w:pPr>
    </w:p>
    <w:p w14:paraId="55B35218" w14:textId="2A8FA4D3" w:rsidR="000228BB" w:rsidRPr="002137F3" w:rsidRDefault="000228BB" w:rsidP="006035E2">
      <w:pPr>
        <w:spacing w:after="0" w:line="240" w:lineRule="auto"/>
        <w:ind w:left="705" w:hanging="705"/>
        <w:jc w:val="both"/>
      </w:pPr>
      <w:r w:rsidRPr="00496559">
        <w:rPr>
          <w:b/>
        </w:rPr>
        <w:t>3.</w:t>
      </w:r>
      <w:r w:rsidR="00AE6D5A">
        <w:rPr>
          <w:b/>
        </w:rPr>
        <w:t>4</w:t>
      </w:r>
      <w:r w:rsidRPr="00496559">
        <w:tab/>
        <w:t xml:space="preserve">Kupující je oprávněn provést před samotným převzetím zboží jeho kontrolu, zda splňuje veškeré požadované vlastnosti a požadavky dle kupní smlouvy, dílčí objednávky a zvláštních právních předpisů. </w:t>
      </w:r>
    </w:p>
    <w:p w14:paraId="76450F51" w14:textId="38FBF83F"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38302887" w:rsidR="000228BB" w:rsidRPr="002137F3" w:rsidRDefault="000228BB" w:rsidP="006035E2">
      <w:pPr>
        <w:spacing w:after="0" w:line="240" w:lineRule="auto"/>
        <w:ind w:left="705" w:hanging="705"/>
        <w:jc w:val="both"/>
      </w:pPr>
      <w:r w:rsidRPr="002137F3">
        <w:rPr>
          <w:b/>
        </w:rPr>
        <w:t>3.</w:t>
      </w:r>
      <w:r w:rsidR="00AE6D5A">
        <w:rPr>
          <w:b/>
        </w:rPr>
        <w:t>7</w:t>
      </w:r>
      <w:r w:rsidRPr="002137F3">
        <w:tab/>
        <w:t>Dodací list slouží jako doklad o řádném předání a převzetí</w:t>
      </w:r>
      <w:r w:rsidR="006D34AE">
        <w:t xml:space="preserve"> zboží</w:t>
      </w:r>
      <w:r w:rsidRPr="002137F3">
        <w:t>.</w:t>
      </w:r>
    </w:p>
    <w:p w14:paraId="12D1B24F" w14:textId="4C2909BE" w:rsidR="00D713D6" w:rsidRDefault="000228BB" w:rsidP="006B690C">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7C147F84" w14:textId="77777777" w:rsidR="000E513E" w:rsidRPr="001F780C" w:rsidRDefault="000E513E"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51D40DE2"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7777777" w:rsidR="00B60230" w:rsidRPr="00B60230" w:rsidRDefault="00B60230"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7C47CD0A" w14:textId="1A6ED649" w:rsidR="00B60230" w:rsidRPr="00B60230" w:rsidRDefault="00467CB4"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6991EE58" w14:textId="6F19FD04" w:rsidR="00B60230" w:rsidRPr="00B60230" w:rsidRDefault="00467CB4"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10FB8584" w14:textId="63017F1B" w:rsidR="00D713D6" w:rsidRPr="00B60230" w:rsidRDefault="00B60230" w:rsidP="006B690C">
      <w:pPr>
        <w:widowControl w:val="0"/>
        <w:tabs>
          <w:tab w:val="left" w:pos="0"/>
          <w:tab w:val="left" w:pos="360"/>
        </w:tabs>
        <w:suppressAutoHyphens/>
        <w:spacing w:after="60" w:line="36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3C97C307" w:rsidR="0001260D" w:rsidRPr="006B690C" w:rsidRDefault="00372673" w:rsidP="006B690C">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63B30E10"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lastRenderedPageBreak/>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lastRenderedPageBreak/>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Záruční doba neběží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7E6796C8"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w:t>
      </w:r>
      <w:r w:rsidR="006D34AE" w:rsidRPr="006D34AE">
        <w:t xml:space="preserve">včetně DPH </w:t>
      </w:r>
      <w:r w:rsidR="006D34AE">
        <w:t xml:space="preserve">vadného zboží </w:t>
      </w:r>
      <w:r w:rsidRPr="001F780C">
        <w:t xml:space="preserve">za každý započatý den prodlení až do </w:t>
      </w:r>
      <w:r w:rsidR="006D34AE">
        <w:t>úplného</w:t>
      </w:r>
      <w:r w:rsidRPr="001F780C">
        <w:t xml:space="preserve"> odstranění vady.</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lastRenderedPageBreak/>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Pr="00101001"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 xml:space="preserve">V případě, že se některé ustanovení smlouvy stane v budoucnu neplatným, neúčinným či nevymahatelným nebo bude-li takovým příslušným orgánem shledáno, zůstávají ostatní ustanovení </w:t>
      </w:r>
      <w:r w:rsidRPr="001F780C">
        <w:rPr>
          <w:sz w:val="22"/>
          <w:szCs w:val="22"/>
        </w:rPr>
        <w:lastRenderedPageBreak/>
        <w:t>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18C22ACC" w:rsidR="00F71C69" w:rsidRDefault="00F71C69" w:rsidP="00D713D6">
      <w:pPr>
        <w:rPr>
          <w:bCs/>
        </w:rPr>
      </w:pPr>
    </w:p>
    <w:p w14:paraId="6BF08F4D" w14:textId="06B669D9" w:rsidR="00153698" w:rsidRDefault="00153698" w:rsidP="00D713D6">
      <w:pPr>
        <w:rPr>
          <w:bCs/>
        </w:rPr>
      </w:pPr>
    </w:p>
    <w:p w14:paraId="1F075A76" w14:textId="77777777" w:rsidR="00153698" w:rsidRDefault="00153698"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8263648" w:rsidR="00A0171D" w:rsidRDefault="00A0171D" w:rsidP="00D713D6">
      <w:pPr>
        <w:rPr>
          <w:bCs/>
        </w:rPr>
      </w:pPr>
    </w:p>
    <w:p w14:paraId="6CFD6B0E" w14:textId="77777777" w:rsidR="00153698" w:rsidRPr="001F780C" w:rsidRDefault="00153698"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4AE"/>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266"/>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248"/>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7</Pages>
  <Words>2796</Words>
  <Characters>17128</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19885</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107</cp:revision>
  <cp:lastPrinted>2018-03-07T15:02:00Z</cp:lastPrinted>
  <dcterms:created xsi:type="dcterms:W3CDTF">2016-03-14T13:59:00Z</dcterms:created>
  <dcterms:modified xsi:type="dcterms:W3CDTF">2023-05-05T12:09:00Z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