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18F4BDB7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703D8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3A958934" w:rsidR="00866566" w:rsidRPr="005E4008" w:rsidRDefault="005E4008" w:rsidP="005E4008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</w:rPr>
      </w:pPr>
      <w:r w:rsidRPr="005E4008">
        <w:rPr>
          <w:rFonts w:ascii="Calibri" w:hAnsi="Calibri" w:cs="Calibri"/>
          <w:b/>
        </w:rPr>
        <w:t>Zpracování logistického auditu pro nastavení systému za účelem splnění požadavků MDR EU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28EE8F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B47C9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3F4B6AA2">
          <wp:simplePos x="0" y="0"/>
          <wp:positionH relativeFrom="margin">
            <wp:posOffset>3951605</wp:posOffset>
          </wp:positionH>
          <wp:positionV relativeFrom="paragraph">
            <wp:posOffset>-281940</wp:posOffset>
          </wp:positionV>
          <wp:extent cx="2080800" cy="561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800" cy="561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008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47C9F"/>
    <w:rsid w:val="00B53F07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45451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2023-01-03T20:53:00Z</dcterms:modified>
</cp:coreProperties>
</file>