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5AA99B0D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BD1F2B">
        <w:rPr>
          <w:rFonts w:ascii="Calibri" w:hAnsi="Calibri" w:cs="Arial"/>
          <w:b/>
          <w:sz w:val="28"/>
          <w:szCs w:val="28"/>
          <w:lang w:eastAsia="x-none"/>
        </w:rPr>
        <w:t>6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365280D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57EF7B18" w:rsidR="00866566" w:rsidRPr="00BD1F2B" w:rsidRDefault="00A3293E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A3293E">
        <w:rPr>
          <w:rFonts w:ascii="Calibri" w:hAnsi="Calibri" w:cs="Calibri"/>
          <w:b/>
          <w:bCs/>
          <w:sz w:val="22"/>
          <w:szCs w:val="22"/>
        </w:rPr>
        <w:t>Stavební úpravy v Litomyšlské a Svitavské nemocnici pro instalaci zdravotnických technologií pořizovaných v rámci programu REACT EU</w:t>
      </w:r>
    </w:p>
    <w:p w14:paraId="3C2E1761" w14:textId="3D5E2B10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60A6E64B" w14:textId="77777777" w:rsidR="000E57C5" w:rsidRDefault="000E57C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7D874C3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C01A6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3293E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D1F2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2022-10-07T21:32:00Z</dcterms:modified>
</cp:coreProperties>
</file>