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1F078FF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D1416C">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5B55FB90"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EB1664">
        <w:rPr>
          <w:rFonts w:asciiTheme="minorHAnsi" w:hAnsiTheme="minorHAnsi" w:cstheme="minorHAnsi"/>
          <w:b/>
          <w:sz w:val="24"/>
          <w:szCs w:val="24"/>
          <w:highlight w:val="yellow"/>
        </w:rPr>
        <w:t xml:space="preserve"> (doplní dodavatel)</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77777777" w:rsidR="008348A6" w:rsidRDefault="008348A6" w:rsidP="00140DD3">
      <w:pPr>
        <w:spacing w:after="0" w:line="240" w:lineRule="auto"/>
        <w:jc w:val="both"/>
        <w:rPr>
          <w:rFonts w:asciiTheme="minorHAnsi" w:hAnsiTheme="minorHAnsi" w:cstheme="minorHAnsi"/>
        </w:rPr>
      </w:pPr>
    </w:p>
    <w:p w14:paraId="5D6F71A7" w14:textId="77777777" w:rsidR="00EB1664" w:rsidRDefault="00EB1664" w:rsidP="00140DD3">
      <w:pPr>
        <w:spacing w:after="0" w:line="240" w:lineRule="auto"/>
        <w:jc w:val="both"/>
        <w:rPr>
          <w:rFonts w:asciiTheme="minorHAnsi" w:hAnsiTheme="minorHAnsi" w:cstheme="minorHAnsi"/>
        </w:rPr>
      </w:pPr>
    </w:p>
    <w:p w14:paraId="097CA0FD" w14:textId="77777777" w:rsidR="00EB1664" w:rsidRDefault="00EB1664" w:rsidP="00140DD3">
      <w:pPr>
        <w:spacing w:after="0" w:line="240" w:lineRule="auto"/>
        <w:jc w:val="both"/>
        <w:rPr>
          <w:rFonts w:asciiTheme="minorHAnsi" w:hAnsiTheme="minorHAnsi" w:cstheme="minorHAnsi"/>
        </w:rPr>
      </w:pPr>
    </w:p>
    <w:p w14:paraId="2C56E6E2" w14:textId="1767F05B"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D1416C">
        <w:rPr>
          <w:rFonts w:asciiTheme="minorHAnsi" w:hAnsiTheme="minorHAnsi" w:cs="Calibri"/>
          <w:b/>
        </w:rPr>
        <w:t>Pracovní obuv</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611AA748"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A82820" w:rsidRPr="0058687C">
        <w:rPr>
          <w:rFonts w:cs="Calibri"/>
        </w:rPr>
        <w:t>čistící, mycí a úklidové prostředky</w:t>
      </w:r>
      <w:r w:rsidR="006E307A" w:rsidRPr="0058687C">
        <w:rPr>
          <w:rFonts w:cs="Calibri"/>
        </w:rPr>
        <w:t xml:space="preserve"> (dále jen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B057C9" w:rsidRPr="0058687C">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8687C">
        <w:rPr>
          <w:rFonts w:cs="Calibri"/>
        </w:rPr>
        <w:t>dvou let od nabytí účinnosti této smlouvy</w:t>
      </w:r>
      <w:r w:rsidR="0058687C" w:rsidRPr="00712506">
        <w:rPr>
          <w:rFonts w:cs="Calibri"/>
        </w:rPr>
        <w:t xml:space="preserve"> do míst plnění uvedených v článku 2.</w:t>
      </w:r>
      <w:r w:rsidR="0058687C">
        <w:rPr>
          <w:rFonts w:cs="Calibri"/>
        </w:rPr>
        <w:t>1</w:t>
      </w:r>
      <w:r w:rsidR="0058687C" w:rsidRPr="00712506">
        <w:rPr>
          <w:rFonts w:cs="Calibri"/>
        </w:rPr>
        <w:t xml:space="preserve"> této smlouvy.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19362FC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8044F">
        <w:rPr>
          <w:b/>
          <w:bCs/>
        </w:rPr>
        <w:t>2</w:t>
      </w:r>
      <w:r w:rsidR="005C4338" w:rsidRPr="00C552D9">
        <w:rPr>
          <w:b/>
          <w:bCs/>
        </w:rPr>
        <w:t xml:space="preserve">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410CA9">
        <w:rPr>
          <w:rFonts w:asciiTheme="minorHAnsi" w:hAnsiTheme="minorHAnsi" w:cstheme="minorHAnsi"/>
          <w:i/>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07705DA5"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B98D737" w:rsidR="00C40651" w:rsidRPr="00496559" w:rsidRDefault="00206026" w:rsidP="00EB1664">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či výjimečně telefonicky.</w:t>
      </w:r>
    </w:p>
    <w:p w14:paraId="770673C9" w14:textId="52903F45" w:rsidR="0057611F" w:rsidRDefault="00EB1664"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1DD63953" w:rsidR="00C40651" w:rsidRPr="00392B2D" w:rsidRDefault="00EB1664" w:rsidP="00392B2D">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 xml:space="preserve">Kupující je oprávněn provést před samotným převzetím zboží jeho kontrolu, zda splňuje veškeré požadované vlastnosti a požadavky dle kupní smlouvy, dílčí objednávky a zvláštních právních předpisů. </w:t>
      </w:r>
    </w:p>
    <w:p w14:paraId="7EDE2778" w14:textId="02045A02" w:rsidR="00C40651" w:rsidRPr="00BD6FD3" w:rsidRDefault="00EB1664"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2DB1C7B0" w:rsidR="00BD6FD3" w:rsidRPr="002137F3" w:rsidRDefault="00EB1664"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předání dokladů potřebných k převzetí a užívání zboží, a to v českém jazyce s výjimkou odborných technických výrazů, doklady dle požadavků kupujícího, zejména veškeré doklady, ze kterých musí </w:t>
      </w:r>
      <w:r w:rsidRPr="009B3F68">
        <w:rPr>
          <w:rFonts w:cs="Calibri"/>
        </w:rPr>
        <w:lastRenderedPageBreak/>
        <w:t>být zřejmý způsob jeho použití, skladování, doba použitelnosti, identifikace výrobce apod., přičemž všechny údaje musí být uvedeny v českém jazyce s výjimkou odborných technických výrazů</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51D48868" w:rsidR="00BD6FD3" w:rsidRPr="009B3F68" w:rsidRDefault="00691B66"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4BB52456" w:rsidR="00BD6FD3" w:rsidRPr="00EB1664" w:rsidRDefault="00BD6FD3" w:rsidP="00EB1664">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0661FC38" w14:textId="090FC8AD" w:rsidR="00C40651" w:rsidRPr="00BD6FD3" w:rsidRDefault="00EB1664" w:rsidP="00862C0B">
      <w:pPr>
        <w:pStyle w:val="Odstavecseseznamem"/>
        <w:numPr>
          <w:ilvl w:val="0"/>
          <w:numId w:val="3"/>
        </w:numPr>
        <w:spacing w:after="0" w:line="240" w:lineRule="auto"/>
        <w:ind w:left="1211"/>
        <w:jc w:val="both"/>
        <w:rPr>
          <w:rFonts w:cs="Calibri"/>
        </w:rPr>
      </w:pPr>
      <w:r w:rsidRPr="00EB1664">
        <w:rPr>
          <w:rFonts w:cs="Calibri"/>
        </w:rPr>
        <w:t>datum vyhotovení dodacího listu</w:t>
      </w:r>
      <w:r w:rsidR="00BD6FD3" w:rsidRPr="00694152">
        <w:rPr>
          <w:rFonts w:cs="Calibri"/>
        </w:rPr>
        <w:t>.</w:t>
      </w:r>
    </w:p>
    <w:p w14:paraId="7815AAB6" w14:textId="4CF47A80" w:rsidR="00BD6FD3" w:rsidRDefault="00691B66" w:rsidP="005B2211">
      <w:pPr>
        <w:spacing w:after="0" w:line="240" w:lineRule="auto"/>
        <w:ind w:left="705" w:hanging="705"/>
        <w:jc w:val="both"/>
      </w:pPr>
      <w:r>
        <w:rPr>
          <w:bCs/>
        </w:rPr>
        <w:t>9</w:t>
      </w:r>
      <w:r w:rsidR="00D15AEB" w:rsidRPr="00D15AEB">
        <w:rPr>
          <w:bCs/>
        </w:rPr>
        <w:t>.</w:t>
      </w:r>
      <w:r w:rsidR="00D15AEB">
        <w:rPr>
          <w:b/>
        </w:rPr>
        <w:t xml:space="preserve"> </w:t>
      </w:r>
      <w:r w:rsidR="00D15AEB">
        <w:rPr>
          <w:b/>
        </w:rPr>
        <w:tab/>
      </w:r>
      <w:r w:rsidR="00BD6FD3" w:rsidRPr="002137F3">
        <w:t>Dodací list slouží jako doklad o řádném předání a převzetí.</w:t>
      </w:r>
    </w:p>
    <w:p w14:paraId="7242F50F" w14:textId="2A598618" w:rsidR="00C40651" w:rsidRDefault="00B96767" w:rsidP="00B96767">
      <w:pPr>
        <w:spacing w:after="0" w:line="240" w:lineRule="auto"/>
        <w:ind w:left="705" w:hanging="705"/>
        <w:jc w:val="both"/>
      </w:pPr>
      <w:r w:rsidRPr="00B96767">
        <w:rPr>
          <w:bCs/>
        </w:rPr>
        <w:t>1</w:t>
      </w:r>
      <w:r w:rsidR="00691B66">
        <w:rPr>
          <w:bCs/>
        </w:rPr>
        <w:t>0</w:t>
      </w:r>
      <w:r w:rsidRPr="00B96767">
        <w:rPr>
          <w:bCs/>
        </w:rPr>
        <w:t>.</w:t>
      </w:r>
      <w:r>
        <w:rPr>
          <w:b/>
        </w:rPr>
        <w:t xml:space="preserve"> </w:t>
      </w:r>
      <w:r>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w:t>
      </w:r>
      <w:r>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7052E44C"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2 </w:t>
      </w:r>
      <w:r w:rsidR="00392B2D">
        <w:t>let</w:t>
      </w:r>
      <w:r>
        <w:t xml:space="preserve"> (24 měsíců), uvedeného v čl. </w:t>
      </w:r>
      <w:r w:rsidR="00CF2FAE">
        <w:t>I.</w:t>
      </w:r>
      <w:r>
        <w:t xml:space="preserve"> této </w:t>
      </w:r>
      <w:r w:rsidRPr="001F780C">
        <w:t>smlouvy, a to ve výši:</w:t>
      </w:r>
      <w:r w:rsidR="00410CA9">
        <w:t xml:space="preserve"> </w:t>
      </w:r>
      <w:r w:rsidR="00410CA9" w:rsidRPr="00410CA9">
        <w:rPr>
          <w:i/>
          <w:iCs/>
        </w:rPr>
        <w:t>bude doplněno před podpisem smlouvy</w:t>
      </w:r>
    </w:p>
    <w:p w14:paraId="3B27B4E8" w14:textId="77777777" w:rsidR="00665AC1" w:rsidRDefault="00665AC1" w:rsidP="005B2211">
      <w:pPr>
        <w:pStyle w:val="Zkladntextodsazen3"/>
        <w:ind w:left="705" w:hanging="705"/>
      </w:pPr>
    </w:p>
    <w:p w14:paraId="138E6CBE" w14:textId="67A5992D" w:rsidR="00DF61F2" w:rsidRPr="00DF61F2" w:rsidRDefault="00DF61F2" w:rsidP="00DF61F2">
      <w:pPr>
        <w:spacing w:after="0" w:line="360" w:lineRule="auto"/>
        <w:jc w:val="center"/>
        <w:rPr>
          <w:b/>
        </w:rPr>
      </w:pPr>
      <w:r w:rsidRPr="00DF61F2">
        <w:rPr>
          <w:b/>
        </w:rPr>
        <w:t>Cena bez DPH (v Kč):</w:t>
      </w:r>
      <w:r w:rsidRPr="00DF61F2">
        <w:rPr>
          <w:b/>
        </w:rPr>
        <w:tab/>
      </w:r>
      <w:r w:rsidRPr="00DF61F2">
        <w:rPr>
          <w:b/>
        </w:rPr>
        <w:tab/>
      </w:r>
      <w:r w:rsidRPr="00410CA9">
        <w:rPr>
          <w:b/>
        </w:rPr>
        <w:t>……………………………</w:t>
      </w:r>
      <w:r w:rsidRPr="00DF61F2">
        <w:rPr>
          <w:b/>
        </w:rPr>
        <w:t xml:space="preserve"> </w:t>
      </w:r>
    </w:p>
    <w:p w14:paraId="59EE7CCE" w14:textId="73063D2E" w:rsidR="00DF61F2" w:rsidRPr="00DF61F2" w:rsidRDefault="00DF61F2" w:rsidP="00DF61F2">
      <w:pPr>
        <w:spacing w:after="0" w:line="360" w:lineRule="auto"/>
        <w:jc w:val="center"/>
        <w:rPr>
          <w:b/>
        </w:rPr>
      </w:pPr>
      <w:r>
        <w:rPr>
          <w:b/>
        </w:rPr>
        <w:t xml:space="preserve">Výše </w:t>
      </w:r>
      <w:r w:rsidRPr="00DF61F2">
        <w:rPr>
          <w:b/>
        </w:rPr>
        <w:t>DPH (v Kč):</w:t>
      </w:r>
      <w:r w:rsidRPr="00DF61F2">
        <w:rPr>
          <w:b/>
        </w:rPr>
        <w:tab/>
      </w:r>
      <w:r w:rsidRPr="00DF61F2">
        <w:rPr>
          <w:b/>
        </w:rPr>
        <w:tab/>
      </w:r>
      <w:r w:rsidRPr="00410CA9">
        <w:rPr>
          <w:b/>
        </w:rPr>
        <w:t>……………………………</w:t>
      </w:r>
      <w:r w:rsidRPr="00DF61F2">
        <w:rPr>
          <w:b/>
        </w:rPr>
        <w:t xml:space="preserve"> </w:t>
      </w:r>
    </w:p>
    <w:p w14:paraId="2D36C520" w14:textId="0F0A7560" w:rsidR="00DF61F2" w:rsidRPr="00DF61F2" w:rsidRDefault="00DF61F2" w:rsidP="00DF61F2">
      <w:pPr>
        <w:spacing w:after="0" w:line="360" w:lineRule="auto"/>
        <w:jc w:val="center"/>
        <w:rPr>
          <w:b/>
        </w:rPr>
      </w:pPr>
      <w:r>
        <w:rPr>
          <w:b/>
        </w:rPr>
        <w:t xml:space="preserve">Sazba </w:t>
      </w:r>
      <w:r w:rsidRPr="00DF61F2">
        <w:rPr>
          <w:b/>
        </w:rPr>
        <w:t>DPH (v %):</w:t>
      </w:r>
      <w:r w:rsidRPr="00DF61F2">
        <w:rPr>
          <w:b/>
        </w:rPr>
        <w:tab/>
      </w:r>
      <w:r w:rsidRPr="00DF61F2">
        <w:rPr>
          <w:b/>
        </w:rPr>
        <w:tab/>
      </w:r>
      <w:r w:rsidRPr="00410CA9">
        <w:rPr>
          <w:b/>
        </w:rPr>
        <w:t>……………………………</w:t>
      </w:r>
      <w:r w:rsidRPr="00DF61F2">
        <w:rPr>
          <w:b/>
        </w:rPr>
        <w:t xml:space="preserve"> </w:t>
      </w:r>
    </w:p>
    <w:p w14:paraId="41D7483D" w14:textId="1F875DE0" w:rsidR="00487DF0" w:rsidRDefault="00DF61F2" w:rsidP="00DF61F2">
      <w:pPr>
        <w:spacing w:after="0" w:line="360" w:lineRule="auto"/>
        <w:jc w:val="center"/>
        <w:rPr>
          <w:b/>
        </w:rPr>
      </w:pPr>
      <w:r w:rsidRPr="00DF61F2">
        <w:rPr>
          <w:b/>
        </w:rPr>
        <w:t>Cena včetně DPH (v Kč):</w:t>
      </w:r>
      <w:r w:rsidRPr="00DF61F2">
        <w:rPr>
          <w:b/>
        </w:rPr>
        <w:tab/>
      </w:r>
      <w:r w:rsidRPr="00410CA9">
        <w:rPr>
          <w:b/>
        </w:rPr>
        <w:t>……………………………</w:t>
      </w:r>
      <w:r w:rsidRPr="00DF61F2">
        <w:rPr>
          <w:b/>
        </w:rPr>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7777777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„Dílčí specifikace ceny“</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482FFC">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F1F392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2B35F83C" w14:textId="6A9CAD32" w:rsidR="00885FB8" w:rsidRPr="001F780C" w:rsidRDefault="008F1369" w:rsidP="008F1369">
      <w:pPr>
        <w:tabs>
          <w:tab w:val="left" w:pos="709"/>
        </w:tabs>
        <w:spacing w:after="0" w:line="240" w:lineRule="auto"/>
        <w:ind w:left="705" w:hanging="705"/>
        <w:jc w:val="both"/>
      </w:pPr>
      <w:r>
        <w:lastRenderedPageBreak/>
        <w:t>4</w:t>
      </w:r>
      <w:r w:rsidR="009F3EFF" w:rsidRPr="008F1369">
        <w:t xml:space="preserve">. </w:t>
      </w:r>
      <w:r w:rsidR="009F3EFF" w:rsidRPr="008F1369">
        <w:tab/>
      </w:r>
      <w:r w:rsidRPr="008F1369">
        <w:t>Doba splatnosti faktury za dílčí plnění dle této smlouvy je 30 dnů ode dne doručení faktury kupujícímu. Kupující neposkytuje prodávajícímu zálohy.</w:t>
      </w:r>
    </w:p>
    <w:p w14:paraId="7C427FB9" w14:textId="1F407BD8" w:rsidR="00B66B0E" w:rsidRPr="009F3EFF" w:rsidRDefault="008F1369" w:rsidP="003E5B9D">
      <w:pPr>
        <w:spacing w:after="0" w:line="240" w:lineRule="auto"/>
        <w:ind w:left="705" w:hanging="705"/>
        <w:jc w:val="both"/>
      </w:pPr>
      <w:r>
        <w:rPr>
          <w:bCs/>
        </w:rPr>
        <w:t>5</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140DD3">
      <w:pPr>
        <w:spacing w:after="0"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72E3E3A" w:rsidR="00792FE3" w:rsidRPr="00817C4D" w:rsidRDefault="003E5B9D" w:rsidP="00817C4D">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4DFC8319" w:rsidR="00792FE3" w:rsidRPr="001F780C" w:rsidRDefault="00817C4D" w:rsidP="00F670E0">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4E2CF666" w:rsidR="00792FE3" w:rsidRDefault="00F670E0" w:rsidP="00792FE3">
      <w:pPr>
        <w:tabs>
          <w:tab w:val="left" w:pos="0"/>
        </w:tabs>
        <w:spacing w:after="0"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2E895D46" w14:textId="41A5FD1A" w:rsidR="00F670E0" w:rsidRDefault="00F670E0" w:rsidP="00792FE3">
      <w:pPr>
        <w:tabs>
          <w:tab w:val="left" w:pos="0"/>
        </w:tabs>
        <w:spacing w:after="0" w:line="240" w:lineRule="auto"/>
        <w:ind w:left="705" w:hanging="705"/>
        <w:jc w:val="both"/>
      </w:pPr>
      <w:r>
        <w:t xml:space="preserve">5. </w:t>
      </w:r>
      <w:r>
        <w:tab/>
      </w:r>
      <w:r w:rsidRPr="00F670E0">
        <w:t>Smluvní strany se výslovně dohodly, že ustanovení § 1729 OZ se nepoužije.</w:t>
      </w:r>
    </w:p>
    <w:p w14:paraId="3BD60D1F" w14:textId="77777777" w:rsidR="00F670E0" w:rsidRPr="001F780C" w:rsidRDefault="00F670E0" w:rsidP="00792FE3">
      <w:pPr>
        <w:tabs>
          <w:tab w:val="left" w:pos="0"/>
        </w:tabs>
        <w:spacing w:after="0" w:line="240" w:lineRule="auto"/>
        <w:ind w:left="705" w:hanging="705"/>
        <w:jc w:val="both"/>
      </w:pP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081CA2A5"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V záruční době je prodávající povinen bezplatně odstraňovat reklamované vady, popřípadě uspokojit jiný nárok kupujícího z vadného plnění</w:t>
      </w:r>
      <w:r w:rsidR="00340996">
        <w:t>.</w:t>
      </w:r>
      <w:r w:rsidRPr="0086701F">
        <w:t xml:space="preserve"> Záruční doba neběží po dobu, po kterou kupující nemůže užívat zboží pro jeho vady, za které odpovídá prodávající.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F5D9930"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340996">
        <w:t>převzetí zboží</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AF63BA">
      <w:pPr>
        <w:tabs>
          <w:tab w:val="left" w:pos="709"/>
        </w:tabs>
        <w:spacing w:after="0" w:line="240" w:lineRule="auto"/>
        <w:ind w:left="709" w:hanging="709"/>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7759A1">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340996">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F023EE">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F023EE">
      <w:pPr>
        <w:tabs>
          <w:tab w:val="num" w:pos="0"/>
        </w:tabs>
        <w:spacing w:after="0" w:line="240" w:lineRule="auto"/>
        <w:ind w:left="705" w:hanging="705"/>
        <w:jc w:val="both"/>
      </w:pPr>
    </w:p>
    <w:p w14:paraId="757C6B14" w14:textId="77777777" w:rsidR="00140DD3" w:rsidRPr="007963D6" w:rsidRDefault="00140DD3" w:rsidP="00140DD3">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2F677672"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a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0879E2EE" w:rsidR="00AB5DC4" w:rsidRPr="00AB5DC4" w:rsidRDefault="00340996"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w:t>
      </w:r>
      <w:r w:rsidR="00067825" w:rsidRPr="001F780C">
        <w:rPr>
          <w:sz w:val="22"/>
          <w:szCs w:val="22"/>
        </w:rPr>
        <w:lastRenderedPageBreak/>
        <w:t>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1B0981A7"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 Dílčí specifikace ceny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35135B9F" w14:textId="77777777" w:rsidR="000758B8" w:rsidRDefault="000758B8" w:rsidP="00453486">
      <w:pPr>
        <w:pStyle w:val="Zkladntext2"/>
        <w:spacing w:after="0" w:line="240" w:lineRule="auto"/>
        <w:rPr>
          <w:b/>
          <w:sz w:val="28"/>
          <w:szCs w:val="28"/>
        </w:rPr>
      </w:pPr>
    </w:p>
    <w:p w14:paraId="42AEAA2B" w14:textId="77777777" w:rsidR="000758B8" w:rsidRDefault="000758B8" w:rsidP="00453486">
      <w:pPr>
        <w:pStyle w:val="Zkladntext2"/>
        <w:spacing w:after="0" w:line="240" w:lineRule="auto"/>
        <w:rPr>
          <w:b/>
          <w:sz w:val="28"/>
          <w:szCs w:val="28"/>
        </w:rPr>
      </w:pPr>
    </w:p>
    <w:p w14:paraId="268828BB" w14:textId="77777777" w:rsidR="00D004E4" w:rsidRDefault="00D004E4" w:rsidP="00340996">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33613C33">
          <wp:simplePos x="0" y="0"/>
          <wp:positionH relativeFrom="margin">
            <wp:posOffset>4131310</wp:posOffset>
          </wp:positionH>
          <wp:positionV relativeFrom="paragraph">
            <wp:posOffset>-536331</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51D26"/>
    <w:rsid w:val="00054DBB"/>
    <w:rsid w:val="00064C4F"/>
    <w:rsid w:val="00065BD2"/>
    <w:rsid w:val="00067825"/>
    <w:rsid w:val="000758B8"/>
    <w:rsid w:val="0008224D"/>
    <w:rsid w:val="000F0957"/>
    <w:rsid w:val="00100BC1"/>
    <w:rsid w:val="00102CCB"/>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511D"/>
    <w:rsid w:val="002E5A5C"/>
    <w:rsid w:val="002F2A45"/>
    <w:rsid w:val="00300922"/>
    <w:rsid w:val="00340996"/>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0CA9"/>
    <w:rsid w:val="0041110F"/>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4B1D"/>
    <w:rsid w:val="005E680C"/>
    <w:rsid w:val="005E73A3"/>
    <w:rsid w:val="005E73C2"/>
    <w:rsid w:val="00632A95"/>
    <w:rsid w:val="0064132B"/>
    <w:rsid w:val="00661EBC"/>
    <w:rsid w:val="00665AC1"/>
    <w:rsid w:val="00682E0A"/>
    <w:rsid w:val="006912C0"/>
    <w:rsid w:val="00691B66"/>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7C4D"/>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A06ED"/>
    <w:rsid w:val="009B00AB"/>
    <w:rsid w:val="009B3A16"/>
    <w:rsid w:val="009B3F68"/>
    <w:rsid w:val="009C068B"/>
    <w:rsid w:val="009E0C82"/>
    <w:rsid w:val="009E437B"/>
    <w:rsid w:val="009F17B4"/>
    <w:rsid w:val="009F3EFF"/>
    <w:rsid w:val="00A03C32"/>
    <w:rsid w:val="00A07E9A"/>
    <w:rsid w:val="00A15672"/>
    <w:rsid w:val="00A35A97"/>
    <w:rsid w:val="00A44E25"/>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6B0E"/>
    <w:rsid w:val="00B87F74"/>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1416C"/>
    <w:rsid w:val="00D15AEB"/>
    <w:rsid w:val="00D32DED"/>
    <w:rsid w:val="00D37D32"/>
    <w:rsid w:val="00D44559"/>
    <w:rsid w:val="00D449DA"/>
    <w:rsid w:val="00D60552"/>
    <w:rsid w:val="00D76CD1"/>
    <w:rsid w:val="00D93478"/>
    <w:rsid w:val="00D94B2E"/>
    <w:rsid w:val="00DB01AE"/>
    <w:rsid w:val="00DB12DA"/>
    <w:rsid w:val="00DB4D73"/>
    <w:rsid w:val="00DD38C3"/>
    <w:rsid w:val="00DF61F2"/>
    <w:rsid w:val="00E14113"/>
    <w:rsid w:val="00E15253"/>
    <w:rsid w:val="00E24F0C"/>
    <w:rsid w:val="00E41ED3"/>
    <w:rsid w:val="00E56B7A"/>
    <w:rsid w:val="00E66874"/>
    <w:rsid w:val="00E67C33"/>
    <w:rsid w:val="00E706C8"/>
    <w:rsid w:val="00E84E31"/>
    <w:rsid w:val="00EA07A5"/>
    <w:rsid w:val="00EB1664"/>
    <w:rsid w:val="00EB173D"/>
    <w:rsid w:val="00EC06CC"/>
    <w:rsid w:val="00EC1689"/>
    <w:rsid w:val="00ED3E34"/>
    <w:rsid w:val="00F023EE"/>
    <w:rsid w:val="00F105C1"/>
    <w:rsid w:val="00F11BD0"/>
    <w:rsid w:val="00F236BE"/>
    <w:rsid w:val="00F25CEA"/>
    <w:rsid w:val="00F34100"/>
    <w:rsid w:val="00F670E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Pages>
  <Words>2776</Words>
  <Characters>16379</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13</cp:revision>
  <dcterms:created xsi:type="dcterms:W3CDTF">2022-05-24T07:38:00Z</dcterms:created>
  <dcterms:modified xsi:type="dcterms:W3CDTF">2022-10-06T01:36:00Z</dcterms:modified>
</cp:coreProperties>
</file>