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455F6B84" w:rsidR="005C1633" w:rsidRDefault="00B5653B"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7B1F5502"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0C0D974D"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w:t>
      </w:r>
      <w:r w:rsidR="00C90346">
        <w:t>Hynkem Raisem, MHA</w:t>
      </w:r>
      <w:r w:rsidRPr="00401355">
        <w:t>, 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7ACC4B7A" w:rsidR="00420FB8" w:rsidRPr="009305D5" w:rsidRDefault="00420FB8" w:rsidP="009305D5">
      <w:pPr>
        <w:pStyle w:val="Bezmezer"/>
        <w:rPr>
          <w:highlight w:val="cyan"/>
        </w:rPr>
      </w:pPr>
      <w:r w:rsidRPr="009305D5">
        <w:rPr>
          <w:highlight w:val="cyan"/>
        </w:rPr>
        <w:t xml:space="preserve">Podkladem pro uzavření této </w:t>
      </w:r>
      <w:r w:rsidR="00B067C8" w:rsidRPr="009305D5">
        <w:rPr>
          <w:highlight w:val="cyan"/>
        </w:rPr>
        <w:t>Smlouv</w:t>
      </w:r>
      <w:r w:rsidRPr="009305D5">
        <w:rPr>
          <w:highlight w:val="cyan"/>
        </w:rPr>
        <w:t>y je nabídka vítězného dodavatele předložená v rámci zadávacího řízení</w:t>
      </w:r>
      <w:r w:rsidR="004A1D9D" w:rsidRPr="009305D5">
        <w:rPr>
          <w:highlight w:val="cyan"/>
        </w:rPr>
        <w:t xml:space="preserve"> </w:t>
      </w:r>
      <w:r w:rsidRPr="009305D5">
        <w:rPr>
          <w:highlight w:val="cyan"/>
        </w:rPr>
        <w:t>…………</w:t>
      </w:r>
      <w:proofErr w:type="gramStart"/>
      <w:r w:rsidRPr="009305D5">
        <w:rPr>
          <w:highlight w:val="cyan"/>
        </w:rPr>
        <w:t>…….</w:t>
      </w:r>
      <w:proofErr w:type="gramEnd"/>
      <w:r w:rsidRPr="009305D5">
        <w:rPr>
          <w:highlight w:val="cyan"/>
        </w:rPr>
        <w:t>, vyhlášen</w:t>
      </w:r>
      <w:r w:rsidR="009305D5" w:rsidRPr="009305D5">
        <w:rPr>
          <w:highlight w:val="cyan"/>
        </w:rPr>
        <w:t>ého</w:t>
      </w:r>
      <w:r w:rsidRPr="009305D5">
        <w:rPr>
          <w:highlight w:val="cyan"/>
        </w:rPr>
        <w:t xml:space="preserve"> dne…….., identifikátor veřejné zakázky</w:t>
      </w:r>
      <w:r w:rsidR="004A1D9D" w:rsidRPr="009305D5">
        <w:rPr>
          <w:highlight w:val="cyan"/>
        </w:rPr>
        <w:t xml:space="preserve"> </w:t>
      </w:r>
      <w:r w:rsidRPr="009305D5">
        <w:rPr>
          <w:highlight w:val="cyan"/>
        </w:rPr>
        <w:t>……...., evidenční číslo z věstníku veřejných zakázek……… realizovaného v souladu se zákonem č. 134/2016 Sb., ZZVZ.</w:t>
      </w:r>
    </w:p>
    <w:p w14:paraId="687AF1A2" w14:textId="7E7140E3" w:rsidR="003007B4" w:rsidRDefault="003007B4" w:rsidP="003007B4">
      <w:pPr>
        <w:rPr>
          <w:lang w:eastAsia="en-US"/>
        </w:rPr>
      </w:pPr>
    </w:p>
    <w:p w14:paraId="7FE2BCA0" w14:textId="0BC55104" w:rsidR="009305D5" w:rsidRPr="008F54AD" w:rsidRDefault="009305D5" w:rsidP="009305D5">
      <w:pPr>
        <w:pStyle w:val="Bezmezer"/>
      </w:pPr>
      <w:r w:rsidRPr="009305D5">
        <w:rPr>
          <w:highlight w:val="cyan"/>
        </w:rPr>
        <w:t>Předmět smlouvy je realizován v rámci projektu „………………“ (</w:t>
      </w:r>
      <w:proofErr w:type="spellStart"/>
      <w:r w:rsidRPr="009305D5">
        <w:rPr>
          <w:highlight w:val="cyan"/>
        </w:rPr>
        <w:t>reg</w:t>
      </w:r>
      <w:proofErr w:type="spellEnd"/>
      <w:r w:rsidRPr="009305D5">
        <w:rPr>
          <w:highlight w:val="cyan"/>
        </w:rPr>
        <w:t>. č. ……………</w:t>
      </w:r>
      <w:proofErr w:type="gramStart"/>
      <w:r w:rsidRPr="009305D5">
        <w:rPr>
          <w:highlight w:val="cyan"/>
        </w:rPr>
        <w:t>…….</w:t>
      </w:r>
      <w:proofErr w:type="gramEnd"/>
      <w:r w:rsidRPr="009305D5">
        <w:rPr>
          <w:highlight w:val="cyan"/>
        </w:rPr>
        <w:t xml:space="preserve">.) spolufinancovaného Evropskou unií z Evropského fondu pro regionální rozvoj. </w:t>
      </w:r>
      <w:r w:rsidR="00923C21">
        <w:rPr>
          <w:highlight w:val="cyan"/>
        </w:rPr>
        <w:t xml:space="preserve">Prodávající </w:t>
      </w:r>
      <w:r w:rsidRPr="009305D5">
        <w:rPr>
          <w:highlight w:val="cyan"/>
        </w:rPr>
        <w:t>se zavazuje dodržet při naplňování této smlouvy veškeré požadavky zadavatele specifikované v zadávací dokumentaci veřejné zakázky uvedené výše.</w:t>
      </w:r>
      <w:r w:rsidRPr="008F54AD">
        <w:t xml:space="preserve"> </w:t>
      </w:r>
    </w:p>
    <w:p w14:paraId="59D338AD" w14:textId="77777777" w:rsidR="009305D5" w:rsidRPr="003007B4" w:rsidRDefault="009305D5" w:rsidP="003007B4">
      <w:pPr>
        <w:rPr>
          <w:lang w:eastAsia="en-US"/>
        </w:rPr>
      </w:pP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lastRenderedPageBreak/>
        <w:t>Prohlášení Smluvních stran</w:t>
      </w:r>
    </w:p>
    <w:p w14:paraId="419A21B1" w14:textId="44317B0F" w:rsidR="00D85F96" w:rsidRPr="00990AA2" w:rsidRDefault="00E71EFC" w:rsidP="00C82249">
      <w:pPr>
        <w:pStyle w:val="Odstavecseseznamem"/>
        <w:numPr>
          <w:ilvl w:val="0"/>
          <w:numId w:val="34"/>
        </w:numPr>
        <w:ind w:left="426"/>
      </w:pPr>
      <w:r w:rsidRPr="00990AA2">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990AA2">
        <w:t xml:space="preserve">. </w:t>
      </w:r>
    </w:p>
    <w:p w14:paraId="394ABD93" w14:textId="1BEB0125" w:rsidR="00E71EFC" w:rsidRPr="00990AA2" w:rsidRDefault="00E71EFC" w:rsidP="00C82249">
      <w:pPr>
        <w:pStyle w:val="Odstavecseseznamem"/>
        <w:numPr>
          <w:ilvl w:val="0"/>
          <w:numId w:val="34"/>
        </w:numPr>
        <w:ind w:left="426"/>
      </w:pPr>
      <w:r w:rsidRPr="00990AA2">
        <w:t>Smluvní strany prohlašují, že osoby jednající za Smluvní strany jsou osoby oprávněné k jednání bez jakéhokoliv omezení daného např. i vnitřním předpisem Smluvní strany.</w:t>
      </w:r>
    </w:p>
    <w:p w14:paraId="2197AAE8" w14:textId="213C954F" w:rsidR="00E71EFC" w:rsidRPr="00990AA2" w:rsidRDefault="00E71EFC" w:rsidP="00C82249">
      <w:pPr>
        <w:pStyle w:val="Odstavecseseznamem"/>
        <w:numPr>
          <w:ilvl w:val="0"/>
          <w:numId w:val="34"/>
        </w:numPr>
        <w:ind w:left="426"/>
      </w:pPr>
      <w:r w:rsidRPr="00990AA2">
        <w:t>Smluvní strany mají zájem uzavřít platnou Smlouvu a žádné Smluvní straně není známa žádná skutečnost bránící jí uzavřít platnou Smlouvu a poskytnout sjednaná plnění.</w:t>
      </w:r>
    </w:p>
    <w:p w14:paraId="3D3491EA" w14:textId="13AB06E1" w:rsidR="00D85F96" w:rsidRPr="00990AA2" w:rsidRDefault="00E71EFC" w:rsidP="00C82249">
      <w:pPr>
        <w:pStyle w:val="Odstavecseseznamem"/>
        <w:numPr>
          <w:ilvl w:val="0"/>
          <w:numId w:val="34"/>
        </w:numPr>
        <w:ind w:left="426"/>
        <w:rPr>
          <w:lang w:eastAsia="en-US"/>
        </w:rPr>
      </w:pPr>
      <w:r w:rsidRPr="00990AA2">
        <w:rPr>
          <w:lang w:eastAsia="en-US"/>
        </w:rPr>
        <w:t>Kupující</w:t>
      </w:r>
      <w:r w:rsidR="00D85F96" w:rsidRPr="00990AA2">
        <w:rPr>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990AA2">
        <w:rPr>
          <w:lang w:eastAsia="en-US"/>
        </w:rPr>
        <w:t>,</w:t>
      </w:r>
      <w:r w:rsidR="00D85F96" w:rsidRPr="00990AA2">
        <w:rPr>
          <w:lang w:eastAsia="en-US"/>
        </w:rPr>
        <w:t xml:space="preserve"> provozovatelem základní služby: Poskytování zdravotních služeb. Informační systém, na kterém je tato služba závislá, je informačním systémem základní služby. </w:t>
      </w:r>
      <w:r w:rsidRPr="00990AA2">
        <w:rPr>
          <w:lang w:eastAsia="en-US"/>
        </w:rPr>
        <w:t>Kupující</w:t>
      </w:r>
      <w:r w:rsidR="00D85F96" w:rsidRPr="00990AA2">
        <w:rPr>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2333A56E" w:rsidR="00D85F96" w:rsidRPr="00990AA2" w:rsidRDefault="00D85F96" w:rsidP="00C82249">
      <w:pPr>
        <w:pStyle w:val="Odstavecseseznamem"/>
        <w:numPr>
          <w:ilvl w:val="0"/>
          <w:numId w:val="34"/>
        </w:numPr>
        <w:ind w:left="426"/>
        <w:rPr>
          <w:lang w:eastAsia="en-US"/>
        </w:rPr>
      </w:pPr>
      <w:r w:rsidRPr="00990AA2">
        <w:rPr>
          <w:lang w:eastAsia="en-US"/>
        </w:rPr>
        <w:t>Prodávající bere na vědomí, že vstoupí do smluvního právního vztahu jako „významný dodavatel“ z hlediska bezpečnosti informačního a komunikačního systému. Způsoby a úrovně realizace bezpečnostních opatření pro Prodejce stanoví příloha č. 7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990AA2">
        <w:rPr>
          <w:lang w:eastAsia="en-US"/>
        </w:rPr>
        <w:t>,</w:t>
      </w:r>
      <w:r w:rsidRPr="00990AA2">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45B23534" w14:textId="3F3B8BEF" w:rsidR="000650F9" w:rsidRDefault="0032400D" w:rsidP="00C82249">
      <w:pPr>
        <w:numPr>
          <w:ilvl w:val="0"/>
          <w:numId w:val="6"/>
        </w:numPr>
        <w:spacing w:after="60" w:line="240" w:lineRule="auto"/>
        <w:jc w:val="both"/>
      </w:pPr>
      <w:r w:rsidRPr="00591F8A">
        <w:t xml:space="preserve">Účelem této </w:t>
      </w:r>
      <w:r w:rsidR="00B067C8">
        <w:t>Smlouv</w:t>
      </w:r>
      <w:r w:rsidRPr="00591F8A">
        <w:t xml:space="preserve">y </w:t>
      </w:r>
      <w:proofErr w:type="gramStart"/>
      <w:r w:rsidRPr="00591F8A">
        <w:t>je</w:t>
      </w:r>
      <w:r w:rsidR="0049781E">
        <w:t xml:space="preserve"> </w:t>
      </w:r>
      <w:r w:rsidR="000650F9">
        <w:t>:</w:t>
      </w:r>
      <w:proofErr w:type="gramEnd"/>
    </w:p>
    <w:p w14:paraId="14D47571" w14:textId="442999D1" w:rsidR="004A1D9D" w:rsidRDefault="0049781E" w:rsidP="000650F9">
      <w:pPr>
        <w:numPr>
          <w:ilvl w:val="1"/>
          <w:numId w:val="6"/>
        </w:numPr>
        <w:spacing w:after="60" w:line="240" w:lineRule="auto"/>
        <w:jc w:val="both"/>
      </w:pPr>
      <w:r>
        <w:t xml:space="preserve">dodávka </w:t>
      </w:r>
      <w:r w:rsidR="006047AA">
        <w:t>serverů</w:t>
      </w:r>
      <w:r>
        <w:t xml:space="preserve"> </w:t>
      </w:r>
      <w:r w:rsidR="002527F3" w:rsidRPr="006047AA">
        <w:t xml:space="preserve">(dále jen </w:t>
      </w:r>
      <w:r w:rsidR="002527F3" w:rsidRPr="006047AA">
        <w:rPr>
          <w:b/>
        </w:rPr>
        <w:t>předmět koupě</w:t>
      </w:r>
      <w:r w:rsidR="002527F3" w:rsidRPr="006047AA">
        <w:t xml:space="preserve">) </w:t>
      </w:r>
      <w:r w:rsidR="00E55A0F" w:rsidRPr="006047AA">
        <w:t>pro</w:t>
      </w:r>
      <w:r w:rsidR="004A1D9D" w:rsidRPr="006047AA">
        <w:t> </w:t>
      </w:r>
      <w:r w:rsidR="00E55A0F" w:rsidRPr="006047AA">
        <w:t xml:space="preserve">doplnění </w:t>
      </w:r>
      <w:r w:rsidR="005E5FE6">
        <w:t xml:space="preserve">do </w:t>
      </w:r>
      <w:r w:rsidR="003A72C2" w:rsidRPr="006047AA">
        <w:t xml:space="preserve">datového centra </w:t>
      </w:r>
      <w:r w:rsidR="00E55A0F" w:rsidRPr="006047AA">
        <w:t xml:space="preserve">počítačové sítě </w:t>
      </w:r>
      <w:r w:rsidR="004A1D9D" w:rsidRPr="006047AA">
        <w:t>Nemocnic</w:t>
      </w:r>
      <w:r w:rsidR="00380D3B" w:rsidRPr="006047AA">
        <w:t>e</w:t>
      </w:r>
      <w:r w:rsidR="004A1D9D" w:rsidRPr="006047AA">
        <w:t xml:space="preserve"> Pardubického kraje, a.s. (dále též </w:t>
      </w:r>
      <w:r w:rsidR="004A1D9D" w:rsidRPr="006047AA">
        <w:rPr>
          <w:b/>
        </w:rPr>
        <w:t>NPK</w:t>
      </w:r>
      <w:r w:rsidR="003A72C2" w:rsidRPr="006047AA">
        <w:t>), pracoviště Pardubice</w:t>
      </w:r>
    </w:p>
    <w:p w14:paraId="25BF20C9" w14:textId="30F09816" w:rsidR="000650F9" w:rsidRDefault="000650F9" w:rsidP="000650F9">
      <w:pPr>
        <w:numPr>
          <w:ilvl w:val="1"/>
          <w:numId w:val="6"/>
        </w:numPr>
        <w:spacing w:after="60" w:line="240" w:lineRule="auto"/>
        <w:jc w:val="both"/>
      </w:pPr>
      <w:r>
        <w:t>dodávka LCD monitorů</w:t>
      </w:r>
      <w:r w:rsidR="00777A0F">
        <w:t xml:space="preserve"> </w:t>
      </w:r>
      <w:r w:rsidR="00777A0F" w:rsidRPr="006047AA">
        <w:t xml:space="preserve">(dále jen </w:t>
      </w:r>
      <w:r w:rsidR="00777A0F" w:rsidRPr="006047AA">
        <w:rPr>
          <w:b/>
        </w:rPr>
        <w:t>předmět koupě</w:t>
      </w:r>
      <w:r w:rsidR="00777A0F" w:rsidRPr="006047AA">
        <w:t>)</w:t>
      </w:r>
      <w:r>
        <w:t xml:space="preserve"> na pracoviště </w:t>
      </w:r>
      <w:r w:rsidR="00EC7677">
        <w:t xml:space="preserve">Pardubice, pracoviště </w:t>
      </w:r>
      <w:proofErr w:type="gramStart"/>
      <w:r w:rsidR="00EC7677">
        <w:t>Chrudim,  pracoviště</w:t>
      </w:r>
      <w:proofErr w:type="gramEnd"/>
      <w:r w:rsidR="00EC7677">
        <w:t xml:space="preserve"> Svitavy</w:t>
      </w:r>
      <w:r w:rsidR="00777A0F">
        <w:t>,</w:t>
      </w:r>
      <w:r w:rsidR="00EC7677">
        <w:t xml:space="preserve"> pracoviště Litomyšl</w:t>
      </w:r>
      <w:r w:rsidR="00777A0F">
        <w:t xml:space="preserve"> a pracoviště Ústí nad Orlicí</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329EE03B" w:rsidR="002527F3" w:rsidRPr="00812C1D" w:rsidRDefault="002527F3" w:rsidP="00C82249">
      <w:pPr>
        <w:numPr>
          <w:ilvl w:val="0"/>
          <w:numId w:val="9"/>
        </w:numPr>
        <w:spacing w:after="60" w:line="240" w:lineRule="auto"/>
        <w:jc w:val="both"/>
      </w:pPr>
      <w:bookmarkStart w:id="2" w:name="_Hlk511033376"/>
      <w:r w:rsidRPr="00812C1D">
        <w:t xml:space="preserve">Předmětem této Smlouvy je závazek na straně Prodávajícího odevzdat Kupujícímu předmět koupě </w:t>
      </w:r>
      <w:r w:rsidR="00E55A0F" w:rsidRPr="00812C1D">
        <w:t>a umožnit K</w:t>
      </w:r>
      <w:r w:rsidRPr="00812C1D">
        <w:t xml:space="preserve">upujícímu nabytí vlastnického práva k předmětu koupě a závazek na straně </w:t>
      </w:r>
      <w:r w:rsidR="00E55A0F" w:rsidRPr="00812C1D">
        <w:t>K</w:t>
      </w:r>
      <w:r w:rsidRPr="00812C1D">
        <w:t xml:space="preserve">upujícího tento předmět koupě s veškerým příslušenstvím převzít a zaplatit za něj prodávajícímu </w:t>
      </w:r>
      <w:r w:rsidR="00B5653B" w:rsidRPr="00812C1D">
        <w:t xml:space="preserve">Kupní </w:t>
      </w:r>
      <w:r w:rsidRPr="00812C1D">
        <w:t>cenu.</w:t>
      </w:r>
    </w:p>
    <w:p w14:paraId="0C81B267" w14:textId="13CAA9B0" w:rsidR="00600717" w:rsidRPr="008B27C7" w:rsidRDefault="00600717" w:rsidP="00C82249">
      <w:pPr>
        <w:numPr>
          <w:ilvl w:val="0"/>
          <w:numId w:val="9"/>
        </w:numPr>
        <w:spacing w:after="60" w:line="240" w:lineRule="auto"/>
        <w:jc w:val="both"/>
      </w:pPr>
      <w:r w:rsidRPr="008B27C7">
        <w:t xml:space="preserve">Součástí dodávky </w:t>
      </w:r>
      <w:r w:rsidR="008B27C7" w:rsidRPr="008B27C7">
        <w:t>p</w:t>
      </w:r>
      <w:r w:rsidRPr="008B27C7">
        <w:t xml:space="preserve">ředmětu koupě </w:t>
      </w:r>
      <w:r w:rsidR="008B27C7" w:rsidRPr="008B27C7">
        <w:t xml:space="preserve">(serverů) </w:t>
      </w:r>
      <w:r w:rsidRPr="008B27C7">
        <w:t xml:space="preserve">je rovněž instalace a zprovoznění </w:t>
      </w:r>
      <w:r w:rsidR="00C65DF2" w:rsidRPr="008B27C7">
        <w:t xml:space="preserve">předmětu koupě </w:t>
      </w:r>
      <w:r w:rsidR="0064448A">
        <w:t xml:space="preserve">(serverů) </w:t>
      </w:r>
      <w:r w:rsidRPr="008B27C7">
        <w:t>v</w:t>
      </w:r>
      <w:r w:rsidR="003A72C2" w:rsidRPr="008B27C7">
        <w:t> datovém centru počítačové sítě na pracovišti nemocnice Pardubice, včetně příslušného softwarového vybavení,</w:t>
      </w:r>
      <w:r w:rsidRPr="008B27C7">
        <w:t xml:space="preserve"> a zaškolení techniků</w:t>
      </w:r>
      <w:r w:rsidR="008D23CD" w:rsidRPr="008B27C7">
        <w:t xml:space="preserve"> Kupujícího.</w:t>
      </w:r>
    </w:p>
    <w:p w14:paraId="06768946" w14:textId="79164DFA" w:rsidR="00600717" w:rsidRPr="00967D26" w:rsidRDefault="002527F3" w:rsidP="00C82249">
      <w:pPr>
        <w:numPr>
          <w:ilvl w:val="0"/>
          <w:numId w:val="9"/>
        </w:numPr>
        <w:spacing w:after="60" w:line="240" w:lineRule="auto"/>
        <w:jc w:val="both"/>
      </w:pPr>
      <w:r w:rsidRPr="00967D26">
        <w:t>Přesná specifikace předmětu koupě</w:t>
      </w:r>
      <w:bookmarkStart w:id="3" w:name="_Hlk510095614"/>
      <w:r w:rsidRPr="00967D26">
        <w:t xml:space="preserve"> </w:t>
      </w:r>
      <w:bookmarkEnd w:id="3"/>
      <w:r w:rsidR="00600717" w:rsidRPr="00967D26">
        <w:t>(technický popis a parametry</w:t>
      </w:r>
      <w:r w:rsidR="006411B4" w:rsidRPr="00967D26">
        <w:t>, typ a počet softwarových licencí</w:t>
      </w:r>
      <w:r w:rsidR="00600717" w:rsidRPr="00967D26">
        <w:t xml:space="preserve">) </w:t>
      </w:r>
      <w:r w:rsidRPr="00967D26">
        <w:t xml:space="preserve">je uvedena v Příloze č. 1 – Předmět koupě </w:t>
      </w:r>
      <w:r w:rsidR="00E55A0F" w:rsidRPr="00967D26">
        <w:t xml:space="preserve">dle </w:t>
      </w:r>
      <w:r w:rsidRPr="00967D26">
        <w:t>této Smlouvy</w:t>
      </w:r>
      <w:bookmarkEnd w:id="2"/>
      <w:r w:rsidR="00600717" w:rsidRPr="00967D26">
        <w:t>, včetně výčtu všech věcí náležejících k předmětu koupě.</w:t>
      </w:r>
    </w:p>
    <w:p w14:paraId="56EFE954" w14:textId="6C8032FE" w:rsidR="00587198" w:rsidRPr="00812C1D" w:rsidRDefault="00923C21" w:rsidP="00C82249">
      <w:pPr>
        <w:numPr>
          <w:ilvl w:val="0"/>
          <w:numId w:val="9"/>
        </w:numPr>
        <w:spacing w:after="60" w:line="240" w:lineRule="auto"/>
        <w:jc w:val="both"/>
        <w:rPr>
          <w:noProof/>
        </w:rPr>
      </w:pPr>
      <w:r w:rsidRPr="00812C1D">
        <w:rPr>
          <w:noProof/>
        </w:rPr>
        <w:lastRenderedPageBreak/>
        <w:t>Kupující</w:t>
      </w:r>
      <w:r w:rsidR="00587198" w:rsidRPr="00812C1D">
        <w:rPr>
          <w:noProof/>
        </w:rPr>
        <w:t xml:space="preserve"> se zavazuje převzít </w:t>
      </w:r>
      <w:r w:rsidR="00E55A0F" w:rsidRPr="00812C1D">
        <w:rPr>
          <w:noProof/>
        </w:rPr>
        <w:t xml:space="preserve">předmět koupě </w:t>
      </w:r>
      <w:r w:rsidR="00587198" w:rsidRPr="00812C1D">
        <w:rPr>
          <w:noProof/>
        </w:rPr>
        <w:t xml:space="preserve">od </w:t>
      </w:r>
      <w:r w:rsidR="00E55A0F" w:rsidRPr="00812C1D">
        <w:rPr>
          <w:noProof/>
        </w:rPr>
        <w:t>Prodávajícího</w:t>
      </w:r>
      <w:r w:rsidR="00587198" w:rsidRPr="00812C1D">
        <w:rPr>
          <w:noProof/>
        </w:rPr>
        <w:t xml:space="preserve"> a zaplatit cenu dle podmínek této </w:t>
      </w:r>
      <w:r w:rsidR="00B067C8" w:rsidRPr="00812C1D">
        <w:rPr>
          <w:noProof/>
        </w:rPr>
        <w:t>Smlouv</w:t>
      </w:r>
      <w:r w:rsidR="00587198" w:rsidRPr="00812C1D">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3E76D758" w:rsid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23659A">
        <w:t>a</w:t>
      </w:r>
      <w:r w:rsidR="000778E9" w:rsidRPr="000778E9">
        <w:t>to</w:t>
      </w:r>
      <w:r w:rsidRPr="000778E9">
        <w:t xml:space="preserve"> pracoviště</w:t>
      </w:r>
      <w:r w:rsidR="000778E9" w:rsidRPr="000778E9">
        <w:t>:</w:t>
      </w:r>
    </w:p>
    <w:p w14:paraId="703019B7" w14:textId="77777777" w:rsidR="0023659A" w:rsidRDefault="0023659A" w:rsidP="0023659A">
      <w:pPr>
        <w:spacing w:after="60" w:line="240" w:lineRule="auto"/>
        <w:ind w:left="360"/>
        <w:jc w:val="both"/>
      </w:pPr>
    </w:p>
    <w:p w14:paraId="269ACC7A" w14:textId="437C013F" w:rsidR="0023659A" w:rsidRDefault="0023659A" w:rsidP="0023659A">
      <w:pPr>
        <w:numPr>
          <w:ilvl w:val="1"/>
          <w:numId w:val="3"/>
        </w:numPr>
        <w:spacing w:after="60" w:line="240" w:lineRule="auto"/>
        <w:jc w:val="both"/>
      </w:pPr>
      <w:proofErr w:type="gramStart"/>
      <w:r>
        <w:t xml:space="preserve">Servery </w:t>
      </w:r>
      <w:r w:rsidR="00127EE7">
        <w:t>:</w:t>
      </w:r>
      <w:proofErr w:type="gramEnd"/>
    </w:p>
    <w:tbl>
      <w:tblPr>
        <w:tblStyle w:val="Mkatabulky"/>
        <w:tblW w:w="0" w:type="auto"/>
        <w:tblInd w:w="708" w:type="dxa"/>
        <w:tblLook w:val="04A0" w:firstRow="1" w:lastRow="0" w:firstColumn="1" w:lastColumn="0" w:noHBand="0" w:noVBand="1"/>
      </w:tblPr>
      <w:tblGrid>
        <w:gridCol w:w="6800"/>
        <w:gridCol w:w="1893"/>
      </w:tblGrid>
      <w:tr w:rsidR="00022E01" w14:paraId="48B0291B" w14:textId="77777777" w:rsidTr="00022E01">
        <w:tc>
          <w:tcPr>
            <w:tcW w:w="6800" w:type="dxa"/>
          </w:tcPr>
          <w:p w14:paraId="2334E4B9" w14:textId="7978CE54" w:rsidR="00022E01" w:rsidRDefault="00022E01" w:rsidP="00022E01">
            <w:pPr>
              <w:spacing w:after="60"/>
              <w:jc w:val="center"/>
            </w:pPr>
            <w:r w:rsidRPr="00126460">
              <w:rPr>
                <w:rFonts w:ascii="Calibri" w:hAnsi="Calibri"/>
                <w:b/>
                <w:bCs/>
                <w:szCs w:val="20"/>
              </w:rPr>
              <w:t>Pracoviště NPK</w:t>
            </w:r>
          </w:p>
        </w:tc>
        <w:tc>
          <w:tcPr>
            <w:tcW w:w="1893" w:type="dxa"/>
          </w:tcPr>
          <w:p w14:paraId="3F375477" w14:textId="2A9074E3" w:rsidR="00022E01" w:rsidRDefault="00022E01" w:rsidP="00022E01">
            <w:pPr>
              <w:spacing w:after="60"/>
              <w:jc w:val="center"/>
            </w:pPr>
            <w:r w:rsidRPr="00126460">
              <w:rPr>
                <w:rFonts w:ascii="Calibri" w:hAnsi="Calibri"/>
                <w:b/>
                <w:bCs/>
                <w:szCs w:val="20"/>
              </w:rPr>
              <w:t>Počet (ks)</w:t>
            </w:r>
          </w:p>
        </w:tc>
      </w:tr>
      <w:tr w:rsidR="00022E01" w14:paraId="22B49FFC" w14:textId="77777777" w:rsidTr="00022E01">
        <w:tc>
          <w:tcPr>
            <w:tcW w:w="6800" w:type="dxa"/>
          </w:tcPr>
          <w:p w14:paraId="2925BC6A" w14:textId="0AC0D76E" w:rsidR="00022E01" w:rsidRDefault="00022E01" w:rsidP="00022E01">
            <w:pPr>
              <w:spacing w:after="60"/>
              <w:jc w:val="both"/>
            </w:pPr>
            <w:r w:rsidRPr="0023659A">
              <w:rPr>
                <w:rFonts w:ascii="Calibri" w:hAnsi="Calibri"/>
                <w:szCs w:val="20"/>
              </w:rPr>
              <w:t>Pardubická nemocnice, Kyjevská 44, 53203 Pardubice</w:t>
            </w:r>
          </w:p>
        </w:tc>
        <w:tc>
          <w:tcPr>
            <w:tcW w:w="1893" w:type="dxa"/>
          </w:tcPr>
          <w:p w14:paraId="27B9EC8D" w14:textId="72D55D57" w:rsidR="00022E01" w:rsidRDefault="00022E01" w:rsidP="00820175">
            <w:pPr>
              <w:spacing w:after="60"/>
              <w:jc w:val="center"/>
            </w:pPr>
            <w:r>
              <w:t>2</w:t>
            </w:r>
          </w:p>
        </w:tc>
      </w:tr>
    </w:tbl>
    <w:p w14:paraId="7F2E86D0" w14:textId="77777777" w:rsidR="00022E01" w:rsidRDefault="00022E01" w:rsidP="0023659A">
      <w:pPr>
        <w:spacing w:after="60" w:line="240" w:lineRule="auto"/>
        <w:ind w:left="708"/>
        <w:jc w:val="both"/>
      </w:pPr>
    </w:p>
    <w:p w14:paraId="3FCE0163" w14:textId="77777777" w:rsidR="00022E01" w:rsidRDefault="00022E01" w:rsidP="0023659A">
      <w:pPr>
        <w:spacing w:after="60" w:line="240" w:lineRule="auto"/>
        <w:ind w:left="708"/>
        <w:jc w:val="both"/>
      </w:pPr>
    </w:p>
    <w:p w14:paraId="5E29C140" w14:textId="0906DFDE" w:rsidR="0023659A" w:rsidRDefault="0023659A" w:rsidP="0023659A">
      <w:pPr>
        <w:numPr>
          <w:ilvl w:val="1"/>
          <w:numId w:val="3"/>
        </w:numPr>
        <w:spacing w:after="60" w:line="240" w:lineRule="auto"/>
        <w:jc w:val="both"/>
      </w:pPr>
      <w:r>
        <w:t xml:space="preserve">LCD </w:t>
      </w:r>
      <w:proofErr w:type="gramStart"/>
      <w:r>
        <w:t>monitory</w:t>
      </w:r>
      <w:r w:rsidR="00127EE7">
        <w:t xml:space="preserve"> :</w:t>
      </w:r>
      <w:proofErr w:type="gramEnd"/>
    </w:p>
    <w:tbl>
      <w:tblPr>
        <w:tblStyle w:val="Mkatabulky"/>
        <w:tblW w:w="0" w:type="auto"/>
        <w:tblInd w:w="708" w:type="dxa"/>
        <w:tblLook w:val="04A0" w:firstRow="1" w:lastRow="0" w:firstColumn="1" w:lastColumn="0" w:noHBand="0" w:noVBand="1"/>
      </w:tblPr>
      <w:tblGrid>
        <w:gridCol w:w="6942"/>
        <w:gridCol w:w="1701"/>
      </w:tblGrid>
      <w:tr w:rsidR="00261B21" w14:paraId="474C7244" w14:textId="77777777" w:rsidTr="00126460">
        <w:tc>
          <w:tcPr>
            <w:tcW w:w="6942" w:type="dxa"/>
          </w:tcPr>
          <w:p w14:paraId="0FEB42A3" w14:textId="1FA3D366" w:rsidR="00261B21" w:rsidRPr="00126460" w:rsidRDefault="00261B21" w:rsidP="00126460">
            <w:pPr>
              <w:spacing w:after="60"/>
              <w:jc w:val="center"/>
              <w:rPr>
                <w:rFonts w:ascii="Calibri" w:hAnsi="Calibri"/>
                <w:b/>
                <w:bCs/>
                <w:szCs w:val="20"/>
              </w:rPr>
            </w:pPr>
            <w:r w:rsidRPr="00126460">
              <w:rPr>
                <w:rFonts w:ascii="Calibri" w:hAnsi="Calibri"/>
                <w:b/>
                <w:bCs/>
                <w:szCs w:val="20"/>
              </w:rPr>
              <w:t>Pracoviště NPK</w:t>
            </w:r>
          </w:p>
        </w:tc>
        <w:tc>
          <w:tcPr>
            <w:tcW w:w="1701" w:type="dxa"/>
          </w:tcPr>
          <w:p w14:paraId="4F683105" w14:textId="314166F3" w:rsidR="00261B21" w:rsidRPr="00126460" w:rsidRDefault="00261B21" w:rsidP="00126460">
            <w:pPr>
              <w:spacing w:after="60"/>
              <w:jc w:val="center"/>
              <w:rPr>
                <w:rFonts w:ascii="Calibri" w:hAnsi="Calibri"/>
                <w:b/>
                <w:bCs/>
                <w:szCs w:val="20"/>
              </w:rPr>
            </w:pPr>
            <w:r w:rsidRPr="00126460">
              <w:rPr>
                <w:rFonts w:ascii="Calibri" w:hAnsi="Calibri"/>
                <w:b/>
                <w:bCs/>
                <w:szCs w:val="20"/>
              </w:rPr>
              <w:t>Počet (ks)</w:t>
            </w:r>
          </w:p>
        </w:tc>
      </w:tr>
      <w:tr w:rsidR="00261B21" w14:paraId="361671C3" w14:textId="77777777" w:rsidTr="00126460">
        <w:tc>
          <w:tcPr>
            <w:tcW w:w="6942" w:type="dxa"/>
          </w:tcPr>
          <w:p w14:paraId="5AC8658E" w14:textId="0E4C1D74" w:rsidR="00261B21" w:rsidRDefault="00126460" w:rsidP="00EB05C0">
            <w:pPr>
              <w:spacing w:after="60"/>
              <w:jc w:val="both"/>
              <w:rPr>
                <w:rFonts w:ascii="Calibri" w:hAnsi="Calibri"/>
                <w:szCs w:val="20"/>
              </w:rPr>
            </w:pPr>
            <w:r w:rsidRPr="0023659A">
              <w:rPr>
                <w:rFonts w:ascii="Calibri" w:hAnsi="Calibri"/>
                <w:szCs w:val="20"/>
              </w:rPr>
              <w:t>Pardubická nemocnice, Kyjevská 44, 53203 Pardubice</w:t>
            </w:r>
          </w:p>
        </w:tc>
        <w:tc>
          <w:tcPr>
            <w:tcW w:w="1701" w:type="dxa"/>
          </w:tcPr>
          <w:p w14:paraId="54ECE408" w14:textId="2077EC9C" w:rsidR="00261B21" w:rsidRDefault="00126460" w:rsidP="00126460">
            <w:pPr>
              <w:spacing w:after="60"/>
              <w:jc w:val="center"/>
              <w:rPr>
                <w:rFonts w:ascii="Calibri" w:hAnsi="Calibri"/>
                <w:szCs w:val="20"/>
              </w:rPr>
            </w:pPr>
            <w:r>
              <w:rPr>
                <w:rFonts w:ascii="Calibri" w:hAnsi="Calibri"/>
                <w:szCs w:val="20"/>
              </w:rPr>
              <w:t>261</w:t>
            </w:r>
          </w:p>
        </w:tc>
      </w:tr>
      <w:tr w:rsidR="00261B21" w14:paraId="0C998931" w14:textId="77777777" w:rsidTr="00126460">
        <w:tc>
          <w:tcPr>
            <w:tcW w:w="6942" w:type="dxa"/>
          </w:tcPr>
          <w:p w14:paraId="16171F62" w14:textId="39CD1206" w:rsidR="00261B21" w:rsidRDefault="00126460" w:rsidP="00EB05C0">
            <w:pPr>
              <w:spacing w:after="60"/>
              <w:jc w:val="both"/>
              <w:rPr>
                <w:rFonts w:ascii="Calibri" w:hAnsi="Calibri"/>
                <w:szCs w:val="20"/>
              </w:rPr>
            </w:pPr>
            <w:r w:rsidRPr="00EB05C0">
              <w:rPr>
                <w:rFonts w:ascii="Calibri" w:hAnsi="Calibri"/>
                <w:szCs w:val="20"/>
              </w:rPr>
              <w:t>Chrudimská nemocnice, Václavská 570, 537 27 Chrudim</w:t>
            </w:r>
          </w:p>
        </w:tc>
        <w:tc>
          <w:tcPr>
            <w:tcW w:w="1701" w:type="dxa"/>
          </w:tcPr>
          <w:p w14:paraId="101BA867" w14:textId="4C738A4E" w:rsidR="00261B21" w:rsidRDefault="00126460" w:rsidP="00126460">
            <w:pPr>
              <w:spacing w:after="60"/>
              <w:jc w:val="center"/>
              <w:rPr>
                <w:rFonts w:ascii="Calibri" w:hAnsi="Calibri"/>
                <w:szCs w:val="20"/>
              </w:rPr>
            </w:pPr>
            <w:r>
              <w:rPr>
                <w:rFonts w:ascii="Calibri" w:hAnsi="Calibri"/>
                <w:szCs w:val="20"/>
              </w:rPr>
              <w:t>30</w:t>
            </w:r>
          </w:p>
        </w:tc>
      </w:tr>
      <w:tr w:rsidR="00261B21" w14:paraId="556384BA" w14:textId="77777777" w:rsidTr="00126460">
        <w:tc>
          <w:tcPr>
            <w:tcW w:w="6942" w:type="dxa"/>
          </w:tcPr>
          <w:p w14:paraId="7930D046" w14:textId="09969306" w:rsidR="00261B21" w:rsidRDefault="009A0244" w:rsidP="00EB05C0">
            <w:pPr>
              <w:spacing w:after="60"/>
              <w:jc w:val="both"/>
              <w:rPr>
                <w:rFonts w:ascii="Calibri" w:hAnsi="Calibri"/>
                <w:szCs w:val="20"/>
              </w:rPr>
            </w:pPr>
            <w:r w:rsidRPr="00EB05C0">
              <w:rPr>
                <w:rFonts w:ascii="Calibri" w:hAnsi="Calibri"/>
                <w:szCs w:val="20"/>
              </w:rPr>
              <w:t>Svitavská nemocnice, Kollárova 7, 568 25 Svitavy</w:t>
            </w:r>
          </w:p>
        </w:tc>
        <w:tc>
          <w:tcPr>
            <w:tcW w:w="1701" w:type="dxa"/>
          </w:tcPr>
          <w:p w14:paraId="60B30577" w14:textId="52D1FB99" w:rsidR="00261B21" w:rsidRDefault="009A0244" w:rsidP="00126460">
            <w:pPr>
              <w:spacing w:after="60"/>
              <w:jc w:val="center"/>
              <w:rPr>
                <w:rFonts w:ascii="Calibri" w:hAnsi="Calibri"/>
                <w:szCs w:val="20"/>
              </w:rPr>
            </w:pPr>
            <w:r>
              <w:rPr>
                <w:rFonts w:ascii="Calibri" w:hAnsi="Calibri"/>
                <w:szCs w:val="20"/>
              </w:rPr>
              <w:t>82</w:t>
            </w:r>
          </w:p>
        </w:tc>
      </w:tr>
      <w:tr w:rsidR="00261B21" w14:paraId="6E83B20A" w14:textId="77777777" w:rsidTr="00126460">
        <w:tc>
          <w:tcPr>
            <w:tcW w:w="6942" w:type="dxa"/>
          </w:tcPr>
          <w:p w14:paraId="65E7BD71" w14:textId="523C747E" w:rsidR="00261B21" w:rsidRDefault="009A0244" w:rsidP="00EB05C0">
            <w:pPr>
              <w:spacing w:after="60"/>
              <w:jc w:val="both"/>
              <w:rPr>
                <w:rFonts w:ascii="Calibri" w:hAnsi="Calibri"/>
                <w:szCs w:val="20"/>
              </w:rPr>
            </w:pPr>
            <w:r w:rsidRPr="00EB05C0">
              <w:rPr>
                <w:rFonts w:ascii="Calibri" w:hAnsi="Calibri"/>
                <w:szCs w:val="20"/>
              </w:rPr>
              <w:t>Litomyšlská nemocnice, J. E. Purkyně 652, 570 14 Litomyšl</w:t>
            </w:r>
          </w:p>
        </w:tc>
        <w:tc>
          <w:tcPr>
            <w:tcW w:w="1701" w:type="dxa"/>
          </w:tcPr>
          <w:p w14:paraId="065B8B25" w14:textId="69324B18" w:rsidR="00261B21" w:rsidRDefault="009A0244" w:rsidP="00126460">
            <w:pPr>
              <w:spacing w:after="60"/>
              <w:jc w:val="center"/>
              <w:rPr>
                <w:rFonts w:ascii="Calibri" w:hAnsi="Calibri"/>
                <w:szCs w:val="20"/>
              </w:rPr>
            </w:pPr>
            <w:r>
              <w:rPr>
                <w:rFonts w:ascii="Calibri" w:hAnsi="Calibri"/>
                <w:szCs w:val="20"/>
              </w:rPr>
              <w:t>70</w:t>
            </w:r>
          </w:p>
        </w:tc>
      </w:tr>
      <w:tr w:rsidR="00261B21" w14:paraId="3DB1789E" w14:textId="77777777" w:rsidTr="00126460">
        <w:tc>
          <w:tcPr>
            <w:tcW w:w="6942" w:type="dxa"/>
          </w:tcPr>
          <w:p w14:paraId="4D522963" w14:textId="3C8255DB" w:rsidR="00261B21" w:rsidRDefault="009A0244" w:rsidP="00EB05C0">
            <w:pPr>
              <w:spacing w:after="60"/>
              <w:jc w:val="both"/>
              <w:rPr>
                <w:rFonts w:ascii="Calibri" w:hAnsi="Calibri"/>
                <w:szCs w:val="20"/>
              </w:rPr>
            </w:pPr>
            <w:r w:rsidRPr="00EB05C0">
              <w:rPr>
                <w:rFonts w:ascii="Calibri" w:hAnsi="Calibri"/>
                <w:szCs w:val="20"/>
              </w:rPr>
              <w:t>Orlickoústecká nemocnice, Čs. armády 1076, 562 18 Ústí nad Orlicí</w:t>
            </w:r>
          </w:p>
        </w:tc>
        <w:tc>
          <w:tcPr>
            <w:tcW w:w="1701" w:type="dxa"/>
          </w:tcPr>
          <w:p w14:paraId="640A94CD" w14:textId="65A9F390" w:rsidR="00261B21" w:rsidRDefault="009A0244" w:rsidP="00126460">
            <w:pPr>
              <w:spacing w:after="60"/>
              <w:jc w:val="center"/>
              <w:rPr>
                <w:rFonts w:ascii="Calibri" w:hAnsi="Calibri"/>
                <w:szCs w:val="20"/>
              </w:rPr>
            </w:pPr>
            <w:r>
              <w:rPr>
                <w:rFonts w:ascii="Calibri" w:hAnsi="Calibri"/>
                <w:szCs w:val="20"/>
              </w:rPr>
              <w:t>82</w:t>
            </w:r>
          </w:p>
        </w:tc>
      </w:tr>
    </w:tbl>
    <w:p w14:paraId="71E47EF5" w14:textId="77777777" w:rsidR="00261B21" w:rsidRDefault="00261B21" w:rsidP="00EB05C0">
      <w:pPr>
        <w:spacing w:after="60" w:line="240" w:lineRule="auto"/>
        <w:ind w:left="708" w:firstLine="708"/>
        <w:jc w:val="both"/>
        <w:rPr>
          <w:rFonts w:ascii="Calibri" w:hAnsi="Calibri"/>
          <w:szCs w:val="20"/>
        </w:rPr>
      </w:pPr>
    </w:p>
    <w:p w14:paraId="399F0BB5" w14:textId="77777777" w:rsidR="00EB05C0" w:rsidRPr="000778E9" w:rsidRDefault="00EB05C0" w:rsidP="00EB05C0">
      <w:pPr>
        <w:spacing w:after="60" w:line="240" w:lineRule="auto"/>
        <w:ind w:left="708" w:firstLine="708"/>
        <w:jc w:val="both"/>
      </w:pP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2AACD0E0" w:rsidR="00E55A0F" w:rsidRDefault="00E55A0F" w:rsidP="00C82249">
      <w:pPr>
        <w:numPr>
          <w:ilvl w:val="0"/>
          <w:numId w:val="3"/>
        </w:numPr>
        <w:spacing w:after="60" w:line="240" w:lineRule="auto"/>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w:t>
      </w:r>
      <w:r w:rsidR="00D84C1C">
        <w:t xml:space="preserve">předmětu koupě </w:t>
      </w:r>
      <w:r w:rsidRPr="004A0958">
        <w:t>a</w:t>
      </w:r>
      <w:r>
        <w:t xml:space="preserve"> k</w:t>
      </w:r>
      <w:r w:rsidRPr="004A0958">
        <w:t xml:space="preserve"> uplatnění případných vad z titulu záruky za jakost</w:t>
      </w:r>
      <w:r w:rsidR="008F44B4">
        <w:t xml:space="preserve">,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4B1BE197"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A603E3">
        <w:t xml:space="preserve">do </w:t>
      </w:r>
      <w:r w:rsidR="001F6CC6" w:rsidRPr="001F6CC6">
        <w:rPr>
          <w:b/>
          <w:bCs/>
        </w:rPr>
        <w:t>2</w:t>
      </w:r>
      <w:r w:rsidR="001F246B">
        <w:t xml:space="preserve"> měsíců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2F1D85D7" w14:textId="13C72313" w:rsidR="00E41E4B" w:rsidRDefault="00E41E4B" w:rsidP="00C82249">
      <w:pPr>
        <w:numPr>
          <w:ilvl w:val="0"/>
          <w:numId w:val="8"/>
        </w:numPr>
        <w:spacing w:after="120" w:line="240" w:lineRule="auto"/>
        <w:jc w:val="both"/>
      </w:pPr>
      <w:r w:rsidRPr="008D23CD">
        <w:t xml:space="preserve">Pokud nebude možné </w:t>
      </w:r>
      <w:r w:rsidR="008D23CD" w:rsidRPr="008D23CD">
        <w:t>provést</w:t>
      </w:r>
      <w:r w:rsidR="008D23CD">
        <w:t xml:space="preserve"> ve sjednané lhůtě</w:t>
      </w:r>
      <w:r w:rsidR="008D23CD" w:rsidRPr="008D23CD">
        <w:t xml:space="preserve"> </w:t>
      </w:r>
      <w:r w:rsidR="008D23CD">
        <w:t xml:space="preserve">zprovoznění předmětu koupě nebo </w:t>
      </w:r>
      <w:r w:rsidR="008D23CD" w:rsidRPr="008D23CD">
        <w:t xml:space="preserve">zaškolení techniků Kupujícího </w:t>
      </w:r>
      <w:r w:rsidRPr="008D23CD">
        <w:t xml:space="preserve">z důvodů překážek na straně </w:t>
      </w:r>
      <w:r w:rsidR="00923C21" w:rsidRPr="008D23CD">
        <w:t>Kupující</w:t>
      </w:r>
      <w:r w:rsidR="008D23CD" w:rsidRPr="008D23CD">
        <w:t>ho</w:t>
      </w:r>
      <w:r w:rsidRPr="008D23CD">
        <w:t xml:space="preserve">, bude </w:t>
      </w:r>
      <w:r w:rsidR="008D23CD">
        <w:t>toto</w:t>
      </w:r>
      <w:r w:rsidR="008D23CD" w:rsidRPr="008D23CD">
        <w:t xml:space="preserve"> </w:t>
      </w:r>
      <w:r w:rsidRPr="008D23CD">
        <w:t xml:space="preserve">dokončeno na základě dohody mezi </w:t>
      </w:r>
      <w:r w:rsidR="00923C21" w:rsidRPr="008D23CD">
        <w:t>Kupující</w:t>
      </w:r>
      <w:r w:rsidRPr="008D23CD">
        <w:t>m a</w:t>
      </w:r>
      <w:r w:rsidR="008D23CD" w:rsidRPr="008D23CD">
        <w:t xml:space="preserve"> Prodávajícím</w:t>
      </w:r>
      <w:r w:rsidRPr="008D23CD">
        <w:t xml:space="preserve"> v dohodnutých </w:t>
      </w:r>
      <w:r w:rsidR="008D23CD">
        <w:t xml:space="preserve">náhradních </w:t>
      </w:r>
      <w:r w:rsidRPr="008D23CD">
        <w:t>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lastRenderedPageBreak/>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1947DFF2" w:rsidR="00616E4A" w:rsidRPr="000E1D88" w:rsidRDefault="00923C21" w:rsidP="00C82249">
      <w:pPr>
        <w:numPr>
          <w:ilvl w:val="0"/>
          <w:numId w:val="17"/>
        </w:numPr>
        <w:spacing w:after="120" w:line="240" w:lineRule="auto"/>
        <w:ind w:left="357" w:hanging="357"/>
        <w:jc w:val="both"/>
      </w:pPr>
      <w:r w:rsidRPr="000E1D88">
        <w:t xml:space="preserve">Prodávající </w:t>
      </w:r>
      <w:r w:rsidR="00616E4A" w:rsidRPr="000E1D88">
        <w:t xml:space="preserve">má nárok na úhradu </w:t>
      </w:r>
      <w:r w:rsidR="0043760B" w:rsidRPr="000E1D88">
        <w:t xml:space="preserve">i </w:t>
      </w:r>
      <w:r w:rsidR="00616E4A" w:rsidRPr="000E1D88">
        <w:t xml:space="preserve">dílčího plnění </w:t>
      </w:r>
      <w:r w:rsidR="00C65DF2" w:rsidRPr="000E1D88">
        <w:t>předmětu koupě.</w:t>
      </w:r>
      <w:r w:rsidR="001536EE" w:rsidRPr="000E1D88">
        <w:t xml:space="preserve"> T</w:t>
      </w:r>
      <w:r w:rsidR="0043760B" w:rsidRPr="000E1D88">
        <w:t xml:space="preserve">akovýmto dílčím plněním se rozumí zejména </w:t>
      </w:r>
      <w:r w:rsidR="00C65DF2" w:rsidRPr="000E1D88">
        <w:t xml:space="preserve">postupné </w:t>
      </w:r>
      <w:r w:rsidR="0043760B" w:rsidRPr="000E1D88">
        <w:t xml:space="preserve">dodávky </w:t>
      </w:r>
      <w:r w:rsidR="00C65DF2" w:rsidRPr="000E1D88">
        <w:t xml:space="preserve">samostatných </w:t>
      </w:r>
      <w:r w:rsidR="0043760B" w:rsidRPr="000E1D88">
        <w:t>funkčních technických zařízení</w:t>
      </w:r>
      <w:r w:rsidR="00C65DF2" w:rsidRPr="000E1D88">
        <w:t xml:space="preserve">. </w:t>
      </w:r>
      <w:r w:rsidR="0043760B" w:rsidRPr="000E1D88">
        <w:t xml:space="preserve">Součástí daňového dokladu </w:t>
      </w:r>
      <w:r w:rsidR="00F86B86" w:rsidRPr="000E1D88">
        <w:t xml:space="preserve">(dále jen „faktura“) </w:t>
      </w:r>
      <w:r w:rsidR="0043760B" w:rsidRPr="000E1D88">
        <w:t xml:space="preserve">vystaveného </w:t>
      </w:r>
      <w:r w:rsidR="00C65DF2" w:rsidRPr="000E1D88">
        <w:t>Prodávající</w:t>
      </w:r>
      <w:r w:rsidR="0043760B" w:rsidRPr="000E1D88">
        <w:t xml:space="preserve">m na úhradu </w:t>
      </w:r>
      <w:r w:rsidR="003053BD" w:rsidRPr="000E1D88">
        <w:t xml:space="preserve">předmětu koupě nebo </w:t>
      </w:r>
      <w:r w:rsidR="0043760B" w:rsidRPr="000E1D88">
        <w:t xml:space="preserve">dílčího plnění musí být </w:t>
      </w:r>
      <w:r w:rsidR="00F86B86" w:rsidRPr="000E1D88">
        <w:t>rovněž d</w:t>
      </w:r>
      <w:r w:rsidR="0043760B" w:rsidRPr="000E1D88">
        <w:t xml:space="preserve">odací list </w:t>
      </w:r>
      <w:r w:rsidR="001536EE" w:rsidRPr="000E1D88">
        <w:t>podepsaný oběma Smluvními stranami</w:t>
      </w:r>
      <w:r w:rsidR="0053321D" w:rsidRPr="000E1D88">
        <w:t xml:space="preserve">, který obsahuje </w:t>
      </w:r>
      <w:r w:rsidR="00F86B86" w:rsidRPr="000E1D88">
        <w:t>úplný položkový seznam</w:t>
      </w:r>
      <w:r w:rsidR="0043760B" w:rsidRPr="000E1D88">
        <w:t xml:space="preserve"> dodaných </w:t>
      </w:r>
      <w:r w:rsidR="00F86B86" w:rsidRPr="000E1D88">
        <w:t>technických zařízení</w:t>
      </w:r>
      <w:r w:rsidR="00984F5A" w:rsidRPr="000E1D88">
        <w:t>, včetně veškerého příslušenství, v s</w:t>
      </w:r>
      <w:r w:rsidR="00467117" w:rsidRPr="000E1D88">
        <w:t>ouladu s Přílohou č.</w:t>
      </w:r>
      <w:r w:rsidR="00D82167" w:rsidRPr="000E1D88">
        <w:t xml:space="preserve"> 1</w:t>
      </w:r>
      <w:r w:rsidR="00467117" w:rsidRPr="000E1D88">
        <w:t xml:space="preserve"> této Smlouvy</w:t>
      </w:r>
      <w:r w:rsidR="00F86B86" w:rsidRPr="000E1D88">
        <w:t>.</w:t>
      </w:r>
    </w:p>
    <w:p w14:paraId="1E39F106" w14:textId="2F27FBC2" w:rsidR="00BE12E8" w:rsidRPr="000E1D88" w:rsidRDefault="00923C21" w:rsidP="00C82249">
      <w:pPr>
        <w:numPr>
          <w:ilvl w:val="0"/>
          <w:numId w:val="17"/>
        </w:numPr>
        <w:spacing w:after="120" w:line="240" w:lineRule="auto"/>
        <w:ind w:left="357" w:hanging="357"/>
        <w:jc w:val="both"/>
      </w:pPr>
      <w:r w:rsidRPr="000E1D88">
        <w:t>Kupující</w:t>
      </w:r>
      <w:r w:rsidR="00BE12E8" w:rsidRPr="000E1D88">
        <w:t xml:space="preserve"> uhradí cenu za </w:t>
      </w:r>
      <w:r w:rsidR="00984F5A" w:rsidRPr="000E1D88">
        <w:t>předmět koupě</w:t>
      </w:r>
      <w:r w:rsidR="00BE12E8" w:rsidRPr="000E1D88">
        <w:t xml:space="preserve"> bezhotovostně po převzetí </w:t>
      </w:r>
      <w:r w:rsidR="00984F5A" w:rsidRPr="000E1D88">
        <w:t xml:space="preserve">předmětu koupě </w:t>
      </w:r>
      <w:r w:rsidR="00782E47" w:rsidRPr="000E1D88">
        <w:t xml:space="preserve">nebo </w:t>
      </w:r>
      <w:r w:rsidR="00F86B86" w:rsidRPr="000E1D88">
        <w:t>dílčího plnění</w:t>
      </w:r>
      <w:r w:rsidR="00782E47" w:rsidRPr="000E1D88">
        <w:t xml:space="preserve"> </w:t>
      </w:r>
      <w:r w:rsidR="00BE12E8" w:rsidRPr="000E1D88">
        <w:t>na základě</w:t>
      </w:r>
      <w:r w:rsidR="00F86B86" w:rsidRPr="000E1D88">
        <w:t xml:space="preserve"> faktury a dodacího listu </w:t>
      </w:r>
      <w:r w:rsidR="00BE12E8" w:rsidRPr="000E1D88">
        <w:t xml:space="preserve">vystaveného </w:t>
      </w:r>
      <w:r w:rsidR="00984F5A" w:rsidRPr="000E1D88">
        <w:t>Prodávajícím</w:t>
      </w:r>
      <w:r w:rsidR="00BE12E8" w:rsidRPr="000E1D88">
        <w:t xml:space="preserve">. </w:t>
      </w:r>
    </w:p>
    <w:p w14:paraId="6BA2F1F5" w14:textId="2DE80478"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D82167">
        <w:t>4</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w:t>
      </w:r>
      <w:proofErr w:type="gramStart"/>
      <w:r w:rsidR="00D53F86" w:rsidRPr="00D53F86">
        <w:t>běží</w:t>
      </w:r>
      <w:proofErr w:type="gramEnd"/>
      <w:r w:rsidR="00D53F86" w:rsidRPr="00D53F86">
        <w:t xml:space="preserve">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5BBA713C" w14:textId="14D4F743" w:rsidR="00990AA2" w:rsidRPr="00EC218E" w:rsidRDefault="00990AA2" w:rsidP="00C82249">
      <w:pPr>
        <w:numPr>
          <w:ilvl w:val="0"/>
          <w:numId w:val="17"/>
        </w:numPr>
        <w:spacing w:after="120" w:line="240" w:lineRule="auto"/>
        <w:jc w:val="both"/>
      </w:pPr>
      <w:r w:rsidRPr="00EC218E">
        <w:t>Daňový doklad (faktura) bude obsahovat identifikační číslo příslušného projektu a jeho název:</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663E50FB" w:rsidR="00E7147A" w:rsidRPr="00D85F96" w:rsidRDefault="00923C21" w:rsidP="00C82249">
      <w:pPr>
        <w:numPr>
          <w:ilvl w:val="0"/>
          <w:numId w:val="18"/>
        </w:numPr>
        <w:spacing w:after="120" w:line="240" w:lineRule="auto"/>
        <w:ind w:left="357" w:hanging="357"/>
        <w:jc w:val="both"/>
      </w:pPr>
      <w:bookmarkStart w:id="4"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E41E4B" w:rsidRPr="00D85F96">
        <w:rPr>
          <w:b/>
        </w:rPr>
        <w:t>6</w:t>
      </w:r>
      <w:r w:rsidR="00E7147A" w:rsidRPr="00D85F96">
        <w:rPr>
          <w:b/>
        </w:rPr>
        <w:t xml:space="preserve"> – Zodpovědné osoby.</w:t>
      </w:r>
    </w:p>
    <w:bookmarkEnd w:id="4"/>
    <w:p w14:paraId="22DC6D68" w14:textId="0FD2E36B" w:rsidR="00D85EED" w:rsidRPr="00D85F96" w:rsidRDefault="00E44C54"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vztahují, a umožní kupujícímu nabýt vlastnického práva k</w:t>
      </w:r>
      <w:r w:rsidR="00D85EED" w:rsidRPr="00D85F96">
        <w:rPr>
          <w:sz w:val="22"/>
          <w:szCs w:val="22"/>
        </w:rPr>
        <w:t xml:space="preserve"> 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02C07B93" w14:textId="6E3D8E7B"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postupovat při </w:t>
      </w:r>
      <w:r w:rsidR="00031545" w:rsidRPr="00D85F96">
        <w:rPr>
          <w:sz w:val="22"/>
          <w:szCs w:val="22"/>
        </w:rPr>
        <w:t xml:space="preserve">dodání a zprovoznění předmětu koupě </w:t>
      </w:r>
      <w:r w:rsidR="00BE12E8" w:rsidRPr="00D85F96">
        <w:rPr>
          <w:sz w:val="22"/>
          <w:szCs w:val="22"/>
        </w:rPr>
        <w:t xml:space="preserve">s náležitou, odbornou péči a podle pokynů </w:t>
      </w:r>
      <w:r w:rsidRPr="00D85F96">
        <w:rPr>
          <w:sz w:val="22"/>
          <w:szCs w:val="22"/>
        </w:rPr>
        <w:t>Kupující</w:t>
      </w:r>
      <w:r w:rsidR="00031545" w:rsidRPr="00D85F96">
        <w:rPr>
          <w:sz w:val="22"/>
          <w:szCs w:val="22"/>
        </w:rPr>
        <w:t>ho</w:t>
      </w:r>
      <w:r w:rsidR="00BE12E8" w:rsidRPr="00D85F96">
        <w:rPr>
          <w:sz w:val="22"/>
          <w:szCs w:val="22"/>
        </w:rPr>
        <w:t xml:space="preserve">. Při </w:t>
      </w:r>
      <w:r w:rsidR="00031545" w:rsidRPr="00D85F96">
        <w:rPr>
          <w:sz w:val="22"/>
          <w:szCs w:val="22"/>
        </w:rPr>
        <w:t xml:space="preserve">dodání a zprovoznění předmětu koupě </w:t>
      </w:r>
      <w:r w:rsidR="00BE12E8" w:rsidRPr="00D85F96">
        <w:rPr>
          <w:sz w:val="22"/>
          <w:szCs w:val="22"/>
        </w:rPr>
        <w:t xml:space="preserve">je </w:t>
      </w:r>
      <w:r w:rsidRPr="00D85F96">
        <w:rPr>
          <w:sz w:val="22"/>
          <w:szCs w:val="22"/>
        </w:rPr>
        <w:t xml:space="preserve">Prodávající </w:t>
      </w:r>
      <w:r w:rsidR="00BE12E8" w:rsidRPr="00D85F96">
        <w:rPr>
          <w:sz w:val="22"/>
          <w:szCs w:val="22"/>
        </w:rPr>
        <w:t xml:space="preserve">povinen upozorňovat </w:t>
      </w:r>
      <w:r w:rsidRPr="00D85F96">
        <w:rPr>
          <w:sz w:val="22"/>
          <w:szCs w:val="22"/>
        </w:rPr>
        <w:t>Kupující</w:t>
      </w:r>
      <w:r w:rsidR="00031545" w:rsidRPr="00D85F96">
        <w:rPr>
          <w:sz w:val="22"/>
          <w:szCs w:val="22"/>
        </w:rPr>
        <w:t>ho</w:t>
      </w:r>
      <w:r w:rsidR="00BE12E8" w:rsidRPr="00D85F96">
        <w:rPr>
          <w:sz w:val="22"/>
          <w:szCs w:val="22"/>
        </w:rPr>
        <w:t xml:space="preserve"> na nevhodnost jeho pokynů, které by mohly mít za následek újmu na právech </w:t>
      </w:r>
      <w:r w:rsidRPr="00D85F96">
        <w:rPr>
          <w:sz w:val="22"/>
          <w:szCs w:val="22"/>
        </w:rPr>
        <w:t>Kupující</w:t>
      </w:r>
      <w:r w:rsidR="00031545" w:rsidRPr="00D85F96">
        <w:rPr>
          <w:sz w:val="22"/>
          <w:szCs w:val="22"/>
        </w:rPr>
        <w:t>ho</w:t>
      </w:r>
      <w:r w:rsidR="00BE12E8" w:rsidRPr="00D85F96">
        <w:rPr>
          <w:sz w:val="22"/>
          <w:szCs w:val="22"/>
        </w:rPr>
        <w:t xml:space="preserve"> nebo vznik škody. Pokud </w:t>
      </w:r>
      <w:r w:rsidRPr="00D85F96">
        <w:rPr>
          <w:sz w:val="22"/>
          <w:szCs w:val="22"/>
        </w:rPr>
        <w:t>Kupující</w:t>
      </w:r>
      <w:r w:rsidR="00BE12E8" w:rsidRPr="00D85F96">
        <w:rPr>
          <w:sz w:val="22"/>
          <w:szCs w:val="22"/>
        </w:rPr>
        <w:t xml:space="preserve"> i přes upozornění na splnění svých pokynů trvá, neodpovídá </w:t>
      </w:r>
      <w:r w:rsidRPr="00D85F96">
        <w:rPr>
          <w:sz w:val="22"/>
          <w:szCs w:val="22"/>
        </w:rPr>
        <w:t xml:space="preserve">Prodávající </w:t>
      </w:r>
      <w:r w:rsidR="00BE12E8" w:rsidRPr="00D85F96">
        <w:rPr>
          <w:sz w:val="22"/>
          <w:szCs w:val="22"/>
        </w:rPr>
        <w:t>za případnou škodu tím vzniklou.</w:t>
      </w:r>
    </w:p>
    <w:p w14:paraId="2D517412" w14:textId="6254EACE"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Dodávky, práce a služby, které jsou předmětem této </w:t>
      </w:r>
      <w:r w:rsidR="00B067C8" w:rsidRPr="00D85F96">
        <w:rPr>
          <w:sz w:val="22"/>
          <w:szCs w:val="22"/>
        </w:rPr>
        <w:t>Smlouv</w:t>
      </w:r>
      <w:r w:rsidRPr="00D85F96">
        <w:rPr>
          <w:sz w:val="22"/>
          <w:szCs w:val="22"/>
        </w:rPr>
        <w:t xml:space="preserve">y </w:t>
      </w:r>
      <w:r w:rsidR="00923C21" w:rsidRPr="00D85F96">
        <w:rPr>
          <w:sz w:val="22"/>
          <w:szCs w:val="22"/>
        </w:rPr>
        <w:t xml:space="preserve">Prodávající </w:t>
      </w:r>
      <w:r w:rsidRPr="00D85F96">
        <w:rPr>
          <w:sz w:val="22"/>
          <w:szCs w:val="22"/>
        </w:rPr>
        <w:t xml:space="preserve">dodá nebo provede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7F3323AA" w14:textId="4374A33D"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9E8AD14" w14:textId="1976B3AA"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se zavazuje </w:t>
      </w:r>
      <w:r w:rsidR="00031545" w:rsidRPr="00D85F96">
        <w:rPr>
          <w:sz w:val="22"/>
          <w:szCs w:val="22"/>
        </w:rPr>
        <w:t xml:space="preserve">dodat jako předmět koupě </w:t>
      </w:r>
      <w:r w:rsidR="00BE12E8" w:rsidRPr="00D85F96">
        <w:rPr>
          <w:sz w:val="22"/>
          <w:szCs w:val="22"/>
        </w:rPr>
        <w:t xml:space="preserve">pouze </w:t>
      </w:r>
      <w:r w:rsidR="00031545" w:rsidRPr="00D85F96">
        <w:rPr>
          <w:sz w:val="22"/>
          <w:szCs w:val="22"/>
        </w:rPr>
        <w:t xml:space="preserve">takové </w:t>
      </w:r>
      <w:r w:rsidR="00BE12E8" w:rsidRPr="00D85F96">
        <w:rPr>
          <w:sz w:val="22"/>
          <w:szCs w:val="22"/>
        </w:rPr>
        <w:t>výrobky, které splňují technické požadavky stanovené zákonem č. 22/1997 Sb., o technických požadavcích na výrobky, v</w:t>
      </w:r>
      <w:r w:rsidR="00F90E81">
        <w:rPr>
          <w:sz w:val="22"/>
          <w:szCs w:val="22"/>
        </w:rPr>
        <w:t>e znění pozdějších předpisů</w:t>
      </w:r>
      <w:r w:rsidR="00BE12E8" w:rsidRPr="00D85F96">
        <w:rPr>
          <w:sz w:val="22"/>
          <w:szCs w:val="22"/>
        </w:rPr>
        <w:t xml:space="preserve">, a předpisy souvisejícími. Veškeré materiály, zařízení apod. </w:t>
      </w:r>
      <w:r w:rsidR="00031545" w:rsidRPr="00D85F96">
        <w:rPr>
          <w:sz w:val="22"/>
          <w:szCs w:val="22"/>
        </w:rPr>
        <w:t xml:space="preserve">tvořící předmět koupě </w:t>
      </w:r>
      <w:r w:rsidR="00BE12E8" w:rsidRPr="00D85F96">
        <w:rPr>
          <w:sz w:val="22"/>
          <w:szCs w:val="22"/>
        </w:rPr>
        <w:t xml:space="preserve">budou nové, nepoužité, nerepasované a budou odpovídat veškerým platným technickým normám a předpisům. Tuto skutečnost </w:t>
      </w:r>
      <w:r w:rsidRPr="00D85F96">
        <w:rPr>
          <w:sz w:val="22"/>
          <w:szCs w:val="22"/>
        </w:rPr>
        <w:t xml:space="preserve">Prodávající </w:t>
      </w:r>
      <w:r w:rsidR="00BE12E8" w:rsidRPr="00D85F96">
        <w:rPr>
          <w:sz w:val="22"/>
          <w:szCs w:val="22"/>
        </w:rPr>
        <w:t xml:space="preserve">na vyžádání </w:t>
      </w:r>
      <w:proofErr w:type="gramStart"/>
      <w:r w:rsidR="00BE12E8" w:rsidRPr="00D85F96">
        <w:rPr>
          <w:sz w:val="22"/>
          <w:szCs w:val="22"/>
        </w:rPr>
        <w:t>doloží</w:t>
      </w:r>
      <w:proofErr w:type="gramEnd"/>
      <w:r w:rsidR="00BE12E8" w:rsidRPr="00D85F96">
        <w:rPr>
          <w:sz w:val="22"/>
          <w:szCs w:val="22"/>
        </w:rPr>
        <w:t xml:space="preserve"> příslušnými doklady. Smluvní strany se dohodly, že platné ČSN (české technické normy) jsou pro účely této </w:t>
      </w:r>
      <w:r w:rsidR="00B067C8" w:rsidRPr="00D85F96">
        <w:rPr>
          <w:sz w:val="22"/>
          <w:szCs w:val="22"/>
        </w:rPr>
        <w:t>Smlouv</w:t>
      </w:r>
      <w:r w:rsidR="00BE12E8" w:rsidRPr="00D85F96">
        <w:rPr>
          <w:sz w:val="22"/>
          <w:szCs w:val="22"/>
        </w:rPr>
        <w:t>y považovány za závazné.</w:t>
      </w:r>
    </w:p>
    <w:p w14:paraId="1E44CFB4" w14:textId="46EDDD69"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610CB5E2" w14:textId="6EDD08AB" w:rsidR="00BE12E8"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C82249">
      <w:pPr>
        <w:pStyle w:val="Odstavecseseznamem"/>
        <w:numPr>
          <w:ilvl w:val="0"/>
          <w:numId w:val="18"/>
        </w:numPr>
        <w:spacing w:before="0" w:after="120"/>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85F96" w:rsidRDefault="00923C21" w:rsidP="00C82249">
      <w:pPr>
        <w:pStyle w:val="Odstavecseseznamem"/>
        <w:numPr>
          <w:ilvl w:val="0"/>
          <w:numId w:val="18"/>
        </w:numPr>
        <w:spacing w:before="0" w:after="120"/>
        <w:ind w:left="357" w:hanging="357"/>
        <w:contextualSpacing w:val="0"/>
        <w:rPr>
          <w:sz w:val="22"/>
          <w:szCs w:val="22"/>
        </w:rPr>
      </w:pPr>
      <w:r w:rsidRPr="00D85F96">
        <w:rPr>
          <w:sz w:val="22"/>
          <w:szCs w:val="22"/>
        </w:rPr>
        <w:lastRenderedPageBreak/>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55E85749" w14:textId="6003D143" w:rsidR="00BE12E8" w:rsidRPr="00D85F96" w:rsidRDefault="00923C21"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C82249">
      <w:pPr>
        <w:pStyle w:val="Odstavecseseznamem"/>
        <w:numPr>
          <w:ilvl w:val="0"/>
          <w:numId w:val="18"/>
        </w:numPr>
        <w:tabs>
          <w:tab w:val="left" w:pos="0"/>
        </w:tabs>
        <w:spacing w:before="0" w:after="120"/>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32EAE621" w14:textId="550116EE" w:rsidR="00990AA2" w:rsidRPr="00D85F96" w:rsidRDefault="00990AA2" w:rsidP="00862216">
      <w:pPr>
        <w:pStyle w:val="Odstavecseseznamem"/>
        <w:numPr>
          <w:ilvl w:val="0"/>
          <w:numId w:val="18"/>
        </w:numPr>
        <w:shd w:val="clear" w:color="auto" w:fill="65D7FF"/>
        <w:tabs>
          <w:tab w:val="left" w:pos="0"/>
        </w:tabs>
        <w:spacing w:before="0" w:after="120"/>
        <w:ind w:left="357" w:hanging="357"/>
        <w:contextualSpacing w:val="0"/>
        <w:rPr>
          <w:sz w:val="22"/>
          <w:szCs w:val="22"/>
        </w:rPr>
      </w:pPr>
      <w:r>
        <w:t>Zhotovitel je povinen minimálně do konce roku 2030 poskytovat požadované informace a dokumentaci související s realizací projektů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8932455" w14:textId="5B917618" w:rsidR="00BE12E8" w:rsidRPr="00D21076" w:rsidRDefault="00923C21" w:rsidP="00C82249">
      <w:pPr>
        <w:numPr>
          <w:ilvl w:val="0"/>
          <w:numId w:val="10"/>
        </w:numPr>
        <w:spacing w:after="120" w:line="240" w:lineRule="auto"/>
        <w:jc w:val="both"/>
      </w:pPr>
      <w:r>
        <w:t xml:space="preserve">Prodávající </w:t>
      </w:r>
      <w:r w:rsidR="00BE12E8">
        <w:t xml:space="preserve">je povinen </w:t>
      </w:r>
      <w:r w:rsidR="000563D4">
        <w:t xml:space="preserve">včas </w:t>
      </w:r>
      <w:r w:rsidR="002D300F">
        <w:t xml:space="preserve">písemně vyzvat </w:t>
      </w:r>
      <w:r>
        <w:t>Kupující</w:t>
      </w:r>
      <w:r w:rsidR="00D85EED">
        <w:t>ho</w:t>
      </w:r>
      <w:r w:rsidR="000563D4">
        <w:t>, tj.</w:t>
      </w:r>
      <w:r w:rsidR="002D300F">
        <w:t xml:space="preserve"> nejméně 4 pracovní dny před odevzdáním předmětu </w:t>
      </w:r>
      <w:r w:rsidR="00D85EED">
        <w:t>koupě</w:t>
      </w:r>
      <w:r w:rsidR="000563D4">
        <w:t>,</w:t>
      </w:r>
      <w:r w:rsidR="002D300F">
        <w:t xml:space="preserve"> </w:t>
      </w:r>
      <w:r w:rsidR="00BE12E8" w:rsidRPr="00D21076">
        <w:t xml:space="preserve">k převzetí předmětu </w:t>
      </w:r>
      <w:r w:rsidR="00D85EED">
        <w:t>koupě</w:t>
      </w:r>
      <w:r w:rsidR="00BE12E8" w:rsidRPr="00D21076">
        <w:t xml:space="preserve">. Důkazní břemeno prokazující vyzvání </w:t>
      </w:r>
      <w:r>
        <w:t>Kupující</w:t>
      </w:r>
      <w:r w:rsidR="00D85EED">
        <w:t>ho</w:t>
      </w:r>
      <w:r w:rsidR="00BE12E8" w:rsidRPr="00D21076">
        <w:t xml:space="preserve"> k převzetí </w:t>
      </w:r>
      <w:r w:rsidR="00D85EED">
        <w:t>předmětu koupě</w:t>
      </w:r>
      <w:r w:rsidR="00BE12E8" w:rsidRPr="00D21076">
        <w:t xml:space="preserve"> a jeho včasnost nese </w:t>
      </w:r>
      <w:r w:rsidR="00D85EED">
        <w:t>Prodávající</w:t>
      </w:r>
      <w:r w:rsidR="00BE12E8" w:rsidRPr="00D21076">
        <w:t>.</w:t>
      </w:r>
    </w:p>
    <w:p w14:paraId="4FE5BEA6" w14:textId="4207A7B5" w:rsidR="00BE12E8" w:rsidRDefault="00D85EED" w:rsidP="00C82249">
      <w:pPr>
        <w:numPr>
          <w:ilvl w:val="0"/>
          <w:numId w:val="10"/>
        </w:numPr>
        <w:spacing w:after="120" w:line="240" w:lineRule="auto"/>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6FCDE144" w14:textId="355FBC44" w:rsidR="00613308" w:rsidRPr="00BB7F67" w:rsidRDefault="0088513B" w:rsidP="00C82249">
      <w:pPr>
        <w:pStyle w:val="Odstavecseseznamem"/>
        <w:numPr>
          <w:ilvl w:val="0"/>
          <w:numId w:val="10"/>
        </w:numPr>
        <w:spacing w:before="0" w:after="120"/>
        <w:contextualSpacing w:val="0"/>
      </w:pPr>
      <w:r w:rsidRPr="00613308">
        <w:t xml:space="preserve">Protokolárním předáním </w:t>
      </w:r>
      <w:r w:rsidR="00380D3B" w:rsidRPr="00BB7F67">
        <w:t xml:space="preserve">předmětu koupě </w:t>
      </w:r>
      <w:r w:rsidRPr="00BB7F67">
        <w:t>se rozumí</w:t>
      </w:r>
      <w:r w:rsidR="00613308" w:rsidRPr="00BB7F67">
        <w:t>:</w:t>
      </w:r>
    </w:p>
    <w:p w14:paraId="19F9A1C4" w14:textId="5867400E" w:rsidR="00C95320" w:rsidRDefault="00C95320" w:rsidP="00C82249">
      <w:pPr>
        <w:pStyle w:val="Odstavecseseznamem"/>
        <w:numPr>
          <w:ilvl w:val="0"/>
          <w:numId w:val="15"/>
        </w:numPr>
      </w:pPr>
      <w:r w:rsidRPr="00C95320">
        <w:rPr>
          <w:b/>
        </w:rPr>
        <w:t>akceptace</w:t>
      </w:r>
      <w:r>
        <w:t xml:space="preserve"> předmětu koupě a</w:t>
      </w:r>
    </w:p>
    <w:p w14:paraId="1B3B3B37" w14:textId="59CA44AE" w:rsidR="00467117" w:rsidRDefault="0088513B" w:rsidP="00C82249">
      <w:pPr>
        <w:pStyle w:val="Odstavecseseznamem"/>
        <w:numPr>
          <w:ilvl w:val="0"/>
          <w:numId w:val="15"/>
        </w:numPr>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24C95B49" w14:textId="15AEA87E" w:rsidR="00613308" w:rsidRPr="00720033" w:rsidRDefault="00613308" w:rsidP="00613308">
      <w:pPr>
        <w:spacing w:before="120" w:after="120" w:line="240" w:lineRule="auto"/>
        <w:ind w:left="708"/>
        <w:jc w:val="both"/>
        <w:rPr>
          <w:rFonts w:cs="Arial"/>
        </w:rPr>
      </w:pPr>
      <w:r w:rsidRPr="00720033">
        <w:rPr>
          <w:b/>
        </w:rPr>
        <w:t xml:space="preserve">Akceptací a </w:t>
      </w:r>
      <w:r w:rsidR="00C95320">
        <w:rPr>
          <w:b/>
        </w:rPr>
        <w:t xml:space="preserve">dodacím listem </w:t>
      </w:r>
      <w:r w:rsidRPr="00720033">
        <w:rPr>
          <w:rFonts w:cs="Arial"/>
        </w:rPr>
        <w:t>se rozumí:</w:t>
      </w:r>
    </w:p>
    <w:p w14:paraId="5BBFD53C" w14:textId="6A83E82B" w:rsidR="00613308" w:rsidRPr="00AA7B64" w:rsidRDefault="00613308" w:rsidP="00C82249">
      <w:pPr>
        <w:pStyle w:val="Odstavecseseznamem"/>
        <w:numPr>
          <w:ilvl w:val="0"/>
          <w:numId w:val="15"/>
        </w:numPr>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w:t>
      </w:r>
      <w:r w:rsidR="00C95320">
        <w:t xml:space="preserve">převzetí předmětu koupě, vč. potvrzení, že předmět koupě </w:t>
      </w:r>
      <w:r w:rsidRPr="00AA7B64">
        <w:t xml:space="preserve">nemá zjevné vady, je kompletní, </w:t>
      </w:r>
      <w:r w:rsidR="00C95320">
        <w:t xml:space="preserve">dodaný </w:t>
      </w:r>
      <w:r w:rsidRPr="00AA7B64">
        <w:t>ve sjednan</w:t>
      </w:r>
      <w:r w:rsidR="00C95320">
        <w:t>é</w:t>
      </w:r>
      <w:r w:rsidRPr="00AA7B64">
        <w:t xml:space="preserve"> </w:t>
      </w:r>
      <w:r w:rsidR="00C95320">
        <w:t>lhůtě</w:t>
      </w:r>
      <w:r w:rsidRPr="00AA7B64">
        <w:t xml:space="preserve"> a kvalitě. Součástí akceptace může být i výčet výhrad, nedostatků, vč. jejich popisu a záznamu o závazn</w:t>
      </w:r>
      <w:r w:rsidR="000563D4">
        <w:t>ých termínech provedení nápravy.</w:t>
      </w:r>
    </w:p>
    <w:p w14:paraId="69645734" w14:textId="10456E75" w:rsidR="00613308" w:rsidRPr="00720033" w:rsidRDefault="00C95320" w:rsidP="00C82249">
      <w:pPr>
        <w:pStyle w:val="Odstavecseseznamem"/>
        <w:numPr>
          <w:ilvl w:val="0"/>
          <w:numId w:val="15"/>
        </w:numPr>
      </w:pPr>
      <w:r>
        <w:rPr>
          <w:b/>
        </w:rPr>
        <w:t>Dodací list</w:t>
      </w:r>
      <w:r w:rsidR="00613308" w:rsidRPr="00AA7B64">
        <w:t xml:space="preserve"> – je signovaný doklad vyhotovený </w:t>
      </w:r>
      <w:r w:rsidR="00984F5A">
        <w:t>Prodávajícím</w:t>
      </w:r>
      <w:r w:rsidR="00613308" w:rsidRPr="00AA7B64">
        <w:t xml:space="preserve"> o </w:t>
      </w:r>
      <w:r>
        <w:t>předání předmětu koupě. Si</w:t>
      </w:r>
      <w:r w:rsidR="00613308" w:rsidRPr="00AA7B64">
        <w:t xml:space="preserve">gnace je prováděna </w:t>
      </w:r>
      <w:r w:rsidR="00613308" w:rsidRPr="00720033">
        <w:t xml:space="preserve">odpovědnými pracovníky </w:t>
      </w:r>
      <w:r w:rsidR="00C65DF2">
        <w:t>Prodávajícího</w:t>
      </w:r>
      <w:r w:rsidR="00613308" w:rsidRPr="00720033">
        <w:t xml:space="preserve"> i </w:t>
      </w:r>
      <w:r w:rsidR="00923C21">
        <w:t>Kupující</w:t>
      </w:r>
      <w:r>
        <w:t>ho</w:t>
      </w:r>
      <w:r w:rsidR="00613308" w:rsidRPr="00720033">
        <w:t xml:space="preserve"> </w:t>
      </w:r>
      <w:bookmarkStart w:id="5" w:name="_Hlk507482933"/>
      <w:r w:rsidR="00613308" w:rsidRPr="00720033">
        <w:t xml:space="preserve">dle </w:t>
      </w:r>
      <w:r w:rsidR="00613308" w:rsidRPr="00AA7B64">
        <w:t xml:space="preserve">odst. 2 článku 7 této </w:t>
      </w:r>
      <w:r w:rsidR="00B067C8" w:rsidRPr="00AA7B64">
        <w:t>Smlouv</w:t>
      </w:r>
      <w:r w:rsidR="00613308" w:rsidRPr="00AA7B64">
        <w:t>y</w:t>
      </w:r>
      <w:r w:rsidR="00613308" w:rsidRPr="00720033">
        <w:t>.</w:t>
      </w:r>
      <w:bookmarkEnd w:id="5"/>
    </w:p>
    <w:p w14:paraId="105F9077" w14:textId="26E4C507" w:rsidR="00467117" w:rsidRPr="00613308" w:rsidRDefault="00C95320" w:rsidP="00C82249">
      <w:pPr>
        <w:pStyle w:val="Odstavecseseznamem"/>
        <w:numPr>
          <w:ilvl w:val="0"/>
          <w:numId w:val="10"/>
        </w:numPr>
        <w:spacing w:before="0" w:after="120"/>
        <w:contextualSpacing w:val="0"/>
      </w:pPr>
      <w:r>
        <w:t xml:space="preserve">Dodací list </w:t>
      </w:r>
      <w:r w:rsidR="00AA7B64">
        <w:t xml:space="preserve">připravuje a </w:t>
      </w:r>
      <w:r w:rsidR="00467117" w:rsidRPr="00613308">
        <w:t xml:space="preserve">předkládá </w:t>
      </w:r>
      <w:r w:rsidR="00D85EED">
        <w:t>Prodávající</w:t>
      </w:r>
      <w:r w:rsidR="00467117" w:rsidRPr="00613308">
        <w:t>.</w:t>
      </w:r>
    </w:p>
    <w:p w14:paraId="79ABA675" w14:textId="093B4CA7" w:rsidR="00BE12E8" w:rsidRPr="00D21076" w:rsidRDefault="00923C21" w:rsidP="00C82249">
      <w:pPr>
        <w:pStyle w:val="Odstavecseseznamem"/>
        <w:numPr>
          <w:ilvl w:val="0"/>
          <w:numId w:val="10"/>
        </w:numPr>
        <w:spacing w:before="0" w:after="120"/>
        <w:contextualSpacing w:val="0"/>
      </w:pPr>
      <w:r>
        <w:t>Kupující</w:t>
      </w:r>
      <w:r w:rsidR="00BE12E8" w:rsidRPr="00D21076">
        <w:t xml:space="preserve"> </w:t>
      </w:r>
      <w:r w:rsidR="00C95320">
        <w:t>předmět koupě</w:t>
      </w:r>
      <w:r w:rsidR="009B1090">
        <w:t xml:space="preserve"> nebo jeho dílčí část</w:t>
      </w:r>
      <w:r w:rsidR="00C95320">
        <w:t xml:space="preserve"> </w:t>
      </w:r>
      <w:r w:rsidR="00BE12E8" w:rsidRPr="00D21076">
        <w:t>nepřevezme, p</w:t>
      </w:r>
      <w:r w:rsidR="00613308">
        <w:t>okud má</w:t>
      </w:r>
      <w:r w:rsidR="00BE12E8" w:rsidRPr="00D21076">
        <w:t xml:space="preserve"> </w:t>
      </w:r>
      <w:r w:rsidR="00C95320">
        <w:t>předmět koupě</w:t>
      </w:r>
      <w:r w:rsidR="009B1090">
        <w:t xml:space="preserve"> nebo jeho dílčí část </w:t>
      </w:r>
      <w:r w:rsidR="00D95D8C" w:rsidRPr="00D21076">
        <w:t>vady</w:t>
      </w:r>
      <w:r w:rsidR="00613308">
        <w:t xml:space="preserve"> bránící užití</w:t>
      </w:r>
      <w:r w:rsidR="009B1090">
        <w:t xml:space="preserve"> předmětu koupě nebo </w:t>
      </w:r>
      <w:r w:rsidR="009B1090" w:rsidRPr="00D21076">
        <w:t>jinak nesplňu</w:t>
      </w:r>
      <w:r w:rsidR="009B1090">
        <w:t>je podmínky této Smlouv</w:t>
      </w:r>
      <w:r w:rsidR="009B1090" w:rsidRPr="00D21076">
        <w:t>y</w:t>
      </w:r>
      <w:r w:rsidR="009B1090">
        <w:t>.</w:t>
      </w:r>
      <w:r w:rsidR="00BE12E8" w:rsidRPr="00D21076">
        <w:t xml:space="preserve"> O odmítnutí bude sepsán </w:t>
      </w:r>
      <w:r w:rsidR="00BE12E8" w:rsidRPr="00D21076">
        <w:lastRenderedPageBreak/>
        <w:t xml:space="preserve">oběma </w:t>
      </w:r>
      <w:r w:rsidR="009B1090">
        <w:t xml:space="preserve">Smluvními </w:t>
      </w:r>
      <w:r w:rsidR="00BE12E8" w:rsidRPr="00D21076">
        <w:t xml:space="preserve">stranami zápis, který bude obsahovat specifikaci vytýkaných vad a vyjádření obou </w:t>
      </w:r>
      <w:r w:rsidR="009B1090">
        <w:t>S</w:t>
      </w:r>
      <w:r w:rsidR="00BE12E8" w:rsidRPr="00D21076">
        <w:t>mluvních stran.</w:t>
      </w:r>
      <w:r w:rsidR="00BE12E8" w:rsidRPr="00DD7985">
        <w:t xml:space="preserve"> </w:t>
      </w:r>
    </w:p>
    <w:p w14:paraId="63065E4C" w14:textId="10391DFC" w:rsidR="000778E9" w:rsidRPr="009B1090" w:rsidRDefault="000778E9" w:rsidP="00C82249">
      <w:pPr>
        <w:pStyle w:val="Odstavecseseznamem"/>
        <w:numPr>
          <w:ilvl w:val="0"/>
          <w:numId w:val="10"/>
        </w:numPr>
        <w:spacing w:before="0" w:after="120"/>
        <w:contextualSpacing w:val="0"/>
        <w:rPr>
          <w:strike/>
        </w:rPr>
      </w:pPr>
      <w:r w:rsidRPr="00D21076">
        <w:t xml:space="preserve">Okamžikem protokolárního převzetí </w:t>
      </w:r>
      <w:r w:rsidR="009B1090">
        <w:t>předmětu koupě</w:t>
      </w:r>
      <w:r w:rsidRPr="00D21076">
        <w:t xml:space="preserve"> přechází na </w:t>
      </w:r>
      <w:r w:rsidR="00923C21">
        <w:t>Kupující</w:t>
      </w:r>
      <w:r w:rsidR="009B1090">
        <w:t>ho</w:t>
      </w:r>
      <w:r w:rsidRPr="00D21076">
        <w:t xml:space="preserve"> </w:t>
      </w:r>
      <w:r w:rsidRPr="00502050">
        <w:t xml:space="preserve">vlastnické právo k předmětu </w:t>
      </w:r>
      <w:r w:rsidR="009B1090" w:rsidRPr="00E361DC">
        <w:t>koupě</w:t>
      </w:r>
      <w:r w:rsidRPr="00E361DC">
        <w:t xml:space="preserve"> </w:t>
      </w:r>
      <w:r w:rsidR="009B1090" w:rsidRPr="00E361DC">
        <w:t>a</w:t>
      </w:r>
      <w:r w:rsidRPr="00E361DC">
        <w:t xml:space="preserve"> právo k užití poskytnutých softwarových licencí </w:t>
      </w:r>
      <w:r w:rsidR="009B1090" w:rsidRPr="00E361DC">
        <w:t xml:space="preserve">(jsou-li součástí předmětu koupě) </w:t>
      </w:r>
      <w:r w:rsidRPr="00E361DC">
        <w:t>a</w:t>
      </w:r>
      <w:r w:rsidRPr="00D21076">
        <w:t xml:space="preserve"> </w:t>
      </w:r>
      <w:r w:rsidRPr="00502050">
        <w:t xml:space="preserve">nebezpečí škody na předmětu </w:t>
      </w:r>
      <w:r w:rsidR="009B1090">
        <w:t>koupě</w:t>
      </w:r>
      <w:r w:rsidR="005319DB">
        <w:t>.</w:t>
      </w:r>
    </w:p>
    <w:p w14:paraId="27F99002" w14:textId="467D3124" w:rsidR="00BE12E8" w:rsidRPr="00640A13"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Záruka</w:t>
      </w:r>
      <w:r w:rsidR="00AA7B64">
        <w:rPr>
          <w:color w:val="2F5496" w:themeColor="accent1" w:themeShade="BF"/>
        </w:rPr>
        <w:t xml:space="preserve"> a záruční podmínky</w:t>
      </w:r>
    </w:p>
    <w:p w14:paraId="63FE955D" w14:textId="35D97053" w:rsidR="00502050" w:rsidRPr="003220A8" w:rsidRDefault="00502050" w:rsidP="00C82249">
      <w:pPr>
        <w:numPr>
          <w:ilvl w:val="0"/>
          <w:numId w:val="11"/>
        </w:numPr>
        <w:spacing w:after="120" w:line="240" w:lineRule="auto"/>
        <w:jc w:val="both"/>
      </w:pPr>
      <w:r w:rsidRPr="003220A8">
        <w:t>Záruka a záruční podmínky na</w:t>
      </w:r>
      <w:r w:rsidR="005E5D6F">
        <w:t xml:space="preserve"> předmět koupě či jeho jednotlivé části</w:t>
      </w:r>
      <w:r w:rsidRPr="003220A8">
        <w:t xml:space="preserve">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7981856" w14:textId="38D95328" w:rsidR="001C0696" w:rsidRPr="001B09E1" w:rsidRDefault="00DD7985" w:rsidP="001C0696">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1C0696" w:rsidRPr="001B09E1">
        <w:rPr>
          <w:color w:val="2F5496" w:themeColor="accent1" w:themeShade="BF"/>
        </w:rPr>
        <w:t>Odpovědnost za vady</w:t>
      </w:r>
    </w:p>
    <w:p w14:paraId="7CB86AE5" w14:textId="77777777" w:rsidR="001C0696" w:rsidRPr="001B09E1" w:rsidRDefault="001C0696" w:rsidP="00C82249">
      <w:pPr>
        <w:numPr>
          <w:ilvl w:val="0"/>
          <w:numId w:val="12"/>
        </w:numPr>
        <w:spacing w:after="120" w:line="240" w:lineRule="auto"/>
        <w:jc w:val="both"/>
      </w:pPr>
      <w:r w:rsidRPr="001B09E1">
        <w:t>Prodávající prohlašuje, že je oprávněn předmět koupě s veškerým příslušenstvím prodat a že na nich neváznou žádné dluhy, zástavní práva či jiné právní vady.</w:t>
      </w:r>
    </w:p>
    <w:p w14:paraId="49E9E035" w14:textId="59DDC6C5" w:rsidR="001C0696" w:rsidRPr="001B09E1" w:rsidRDefault="001C0696" w:rsidP="00C82249">
      <w:pPr>
        <w:numPr>
          <w:ilvl w:val="0"/>
          <w:numId w:val="12"/>
        </w:numPr>
        <w:spacing w:after="120" w:line="240" w:lineRule="auto"/>
        <w:jc w:val="both"/>
      </w:pPr>
      <w:r w:rsidRPr="001B09E1">
        <w:t>Kupující prohlašuje a podpisem dodacího listu (listů) stvrzuje, že si předmět koupě s veškerým příslušenstvím řádné prohlédl a seznámil se s jeho stavem.</w:t>
      </w:r>
    </w:p>
    <w:p w14:paraId="2C4B2566" w14:textId="0E46E206" w:rsidR="001C0696" w:rsidRPr="001B09E1" w:rsidRDefault="001C0696" w:rsidP="00C82249">
      <w:pPr>
        <w:numPr>
          <w:ilvl w:val="0"/>
          <w:numId w:val="12"/>
        </w:numPr>
        <w:spacing w:after="120" w:line="240" w:lineRule="auto"/>
        <w:jc w:val="both"/>
      </w:pPr>
      <w:r w:rsidRPr="001B09E1">
        <w:t>V případě, že budou kupujícím po převzetí předmětu koupě s veškerým příslušenstvím na tomto zjištěny jiné vady, než na které byl upozorněn prodávajícím, má kupující právo uplatnit vůči prodávajícímu nároky v souladu s ust</w:t>
      </w:r>
      <w:r w:rsidR="00B717DB" w:rsidRPr="001B09E1">
        <w:t>anovením</w:t>
      </w:r>
      <w:r w:rsidRPr="001B09E1">
        <w:t xml:space="preserve"> § 2099 až 2117 občanského zákoníku.</w:t>
      </w:r>
    </w:p>
    <w:p w14:paraId="36FAA9A5" w14:textId="12E61C3C" w:rsidR="00BE12E8" w:rsidRDefault="001C069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4DDC5389" w:rsidR="00BE12E8" w:rsidRPr="00D21076" w:rsidRDefault="00BE12E8" w:rsidP="00C82249">
      <w:pPr>
        <w:numPr>
          <w:ilvl w:val="0"/>
          <w:numId w:val="25"/>
        </w:numPr>
        <w:spacing w:after="120" w:line="240" w:lineRule="auto"/>
        <w:jc w:val="both"/>
      </w:pPr>
      <w:r w:rsidRPr="00D21076">
        <w:t xml:space="preserve">Nebezpečí vzniku škody na </w:t>
      </w:r>
      <w:r w:rsidR="004152B1">
        <w:t xml:space="preserve">předmětu koupě </w:t>
      </w:r>
      <w:r w:rsidRPr="001B09E1">
        <w:t>přechází z</w:t>
      </w:r>
      <w:r w:rsidR="006E37FE" w:rsidRPr="001B09E1">
        <w:t> Prodávajícího</w:t>
      </w:r>
      <w:r w:rsidRPr="001B09E1">
        <w:t xml:space="preserve"> na </w:t>
      </w:r>
      <w:r w:rsidR="006E37FE" w:rsidRPr="001B09E1">
        <w:t>Kupujícího</w:t>
      </w:r>
      <w:r w:rsidRPr="001B09E1">
        <w:t xml:space="preserve"> okamžik</w:t>
      </w:r>
      <w:r w:rsidRPr="00D21076">
        <w:t xml:space="preserve">em předání </w:t>
      </w:r>
      <w:r w:rsidR="006E37FE">
        <w:t>předmětu koupě</w:t>
      </w:r>
      <w:r w:rsidRPr="00D21076">
        <w:t xml:space="preserve"> a podpisem </w:t>
      </w:r>
      <w:r w:rsidR="006E37FE">
        <w:t>dodacího listu S</w:t>
      </w:r>
      <w:r w:rsidRPr="00D21076">
        <w:t>mluvními stranami.</w:t>
      </w:r>
    </w:p>
    <w:p w14:paraId="5EC6966B" w14:textId="411DBC72" w:rsidR="00BE12E8" w:rsidRPr="00D21076" w:rsidRDefault="00BE12E8" w:rsidP="00C82249">
      <w:pPr>
        <w:numPr>
          <w:ilvl w:val="0"/>
          <w:numId w:val="25"/>
        </w:numPr>
        <w:spacing w:after="120" w:line="240" w:lineRule="auto"/>
        <w:jc w:val="both"/>
      </w:pPr>
      <w:r w:rsidRPr="00D21076">
        <w:t xml:space="preserve">Nebezpečí škody na věcech předaných </w:t>
      </w:r>
      <w:r w:rsidR="006E37FE">
        <w:t xml:space="preserve">jako součást předávání předmětu koupě </w:t>
      </w:r>
      <w:r w:rsidRPr="00D21076">
        <w:t xml:space="preserve">až do předání </w:t>
      </w:r>
      <w:r w:rsidR="00923C21">
        <w:t>Kupující</w:t>
      </w:r>
      <w:r w:rsidR="006E37FE">
        <w:t>mu</w:t>
      </w:r>
      <w:r w:rsidRPr="00D21076">
        <w:t xml:space="preserve"> nese </w:t>
      </w:r>
      <w:r w:rsidR="00D85EED">
        <w:t>Prodávající</w:t>
      </w:r>
      <w:r w:rsidRPr="00D21076">
        <w:t>.</w:t>
      </w:r>
    </w:p>
    <w:p w14:paraId="03857C70" w14:textId="22233337" w:rsidR="00BE12E8" w:rsidRPr="00D21076" w:rsidRDefault="00923C21" w:rsidP="00C82249">
      <w:pPr>
        <w:numPr>
          <w:ilvl w:val="0"/>
          <w:numId w:val="25"/>
        </w:numPr>
        <w:spacing w:after="120" w:line="240" w:lineRule="auto"/>
        <w:jc w:val="both"/>
      </w:pPr>
      <w:bookmarkStart w:id="6" w:name="_Hlk510775196"/>
      <w:r>
        <w:t xml:space="preserve">Prodávající </w:t>
      </w:r>
      <w:r w:rsidR="00BE12E8" w:rsidRPr="00D21076">
        <w:t xml:space="preserve">odpovídá </w:t>
      </w:r>
      <w:r w:rsidR="006E37FE">
        <w:t>Kupujícímu za</w:t>
      </w:r>
      <w:r w:rsidR="00BE12E8">
        <w:t xml:space="preserve"> </w:t>
      </w:r>
      <w:r w:rsidR="00BE12E8" w:rsidRPr="00D21076">
        <w:t xml:space="preserve">všechny škody, které vzniknou jeho činností v důsledku </w:t>
      </w:r>
      <w:r w:rsidR="006E37FE">
        <w:t>předávání a zprovoznění předmětu koupě</w:t>
      </w:r>
      <w:r w:rsidR="00BE12E8" w:rsidRPr="00D21076">
        <w:t xml:space="preserve"> a je povinen vzniklé škody nahradit nebo odstranit na své náklady.</w:t>
      </w:r>
    </w:p>
    <w:p w14:paraId="330387F1" w14:textId="1083D7EC" w:rsidR="00BE12E8" w:rsidRPr="00D21076" w:rsidRDefault="00BE12E8" w:rsidP="00C82249">
      <w:pPr>
        <w:numPr>
          <w:ilvl w:val="0"/>
          <w:numId w:val="25"/>
        </w:numPr>
        <w:spacing w:after="120" w:line="240" w:lineRule="auto"/>
        <w:jc w:val="both"/>
      </w:pPr>
      <w:bookmarkStart w:id="7" w:name="_Hlk510775015"/>
      <w:bookmarkEnd w:id="6"/>
      <w:r w:rsidRPr="00D21076">
        <w:t>Smluvní strany se dohodly, že v případě náhrady škody se bude hradit pouze skutečná, prokazatelně vzniklá škoda.</w:t>
      </w:r>
    </w:p>
    <w:bookmarkEnd w:id="7"/>
    <w:p w14:paraId="34AA6F2A" w14:textId="3A302B9A" w:rsidR="00BE12E8" w:rsidRPr="00217056" w:rsidRDefault="006E37FE"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8"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61DBF943" w:rsidR="00520139" w:rsidRPr="00F90E81" w:rsidRDefault="00520139" w:rsidP="005536A1">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9"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1500BD6F"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 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lastRenderedPageBreak/>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9"/>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10"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10"/>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DD7985" w:rsidRDefault="00BE12E8" w:rsidP="00C82249">
      <w:pPr>
        <w:pStyle w:val="Odstavecseseznamem"/>
        <w:numPr>
          <w:ilvl w:val="0"/>
          <w:numId w:val="15"/>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43B9FFE4" w14:textId="157C045C" w:rsidR="00BE12E8" w:rsidRPr="00DD7985" w:rsidRDefault="00BE12E8" w:rsidP="00C82249">
      <w:pPr>
        <w:pStyle w:val="Odstavecseseznamem"/>
        <w:numPr>
          <w:ilvl w:val="0"/>
          <w:numId w:val="15"/>
        </w:numPr>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19A9C21" w14:textId="537592AF" w:rsidR="00BE12E8" w:rsidRPr="00DD7985" w:rsidRDefault="00BE12E8" w:rsidP="00C82249">
      <w:pPr>
        <w:pStyle w:val="Odstavecseseznamem"/>
        <w:numPr>
          <w:ilvl w:val="0"/>
          <w:numId w:val="15"/>
        </w:numPr>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106B39A1" w14:textId="7BE3BE87" w:rsidR="00B260FE" w:rsidRDefault="00BE12E8" w:rsidP="00862216">
      <w:pPr>
        <w:pStyle w:val="Odstavecseseznamem"/>
        <w:numPr>
          <w:ilvl w:val="0"/>
          <w:numId w:val="15"/>
        </w:numPr>
        <w:spacing w:after="120" w:line="240" w:lineRule="auto"/>
      </w:pPr>
      <w:r w:rsidRPr="00DD7985">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w:t>
      </w:r>
      <w:proofErr w:type="gramStart"/>
      <w:r w:rsidRPr="00A743BF">
        <w:lastRenderedPageBreak/>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0510390"/>
      <w:bookmarkEnd w:id="8"/>
      <w:r>
        <w:rPr>
          <w:color w:val="2F5496" w:themeColor="accent1" w:themeShade="BF"/>
        </w:rPr>
        <w:t xml:space="preserve"> </w:t>
      </w:r>
      <w:bookmarkStart w:id="12"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w:t>
      </w:r>
      <w:proofErr w:type="gramStart"/>
      <w:r w:rsidR="00702DCC" w:rsidRPr="00FD68CF">
        <w:t>neporuší</w:t>
      </w:r>
      <w:proofErr w:type="gramEnd"/>
      <w:r w:rsidR="00702DCC" w:rsidRPr="00FD68CF">
        <w:t xml:space="preserve">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3" w:name="_Hlk510776831"/>
      <w:r>
        <w:t>v zákonem stanovených případech.</w:t>
      </w:r>
    </w:p>
    <w:bookmarkEnd w:id="13"/>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4" w:name="_Hlk511034349"/>
      <w:bookmarkEnd w:id="11"/>
      <w:bookmarkEnd w:id="12"/>
      <w:r>
        <w:rPr>
          <w:color w:val="2F5496" w:themeColor="accent1" w:themeShade="BF"/>
        </w:rPr>
        <w:t xml:space="preserve"> </w:t>
      </w:r>
      <w:r w:rsidR="00BE12E8" w:rsidRPr="00DD7985">
        <w:rPr>
          <w:color w:val="2F5496" w:themeColor="accent1" w:themeShade="BF"/>
        </w:rPr>
        <w:t>Smluvní pokuty</w:t>
      </w:r>
    </w:p>
    <w:p w14:paraId="592D6B0D" w14:textId="41DFC99A" w:rsidR="00382B79" w:rsidRPr="0058593F" w:rsidRDefault="002C7A70" w:rsidP="00C82249">
      <w:pPr>
        <w:numPr>
          <w:ilvl w:val="0"/>
          <w:numId w:val="14"/>
        </w:numPr>
        <w:spacing w:after="120" w:line="240" w:lineRule="auto"/>
        <w:jc w:val="both"/>
      </w:pPr>
      <w:bookmarkStart w:id="15"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1C85C083" w:rsidR="00BE12E8" w:rsidRDefault="00DD7985" w:rsidP="00C82249">
      <w:pPr>
        <w:numPr>
          <w:ilvl w:val="0"/>
          <w:numId w:val="14"/>
        </w:numPr>
        <w:spacing w:after="120" w:line="240" w:lineRule="auto"/>
        <w:jc w:val="both"/>
      </w:pPr>
      <w:bookmarkStart w:id="16" w:name="_Hlk510511352"/>
      <w:bookmarkEnd w:id="15"/>
      <w:r w:rsidRPr="00312DC5">
        <w:t>V</w:t>
      </w:r>
      <w:r w:rsidR="00BE12E8" w:rsidRPr="00312DC5">
        <w:t xml:space="preserve"> případě prodlení </w:t>
      </w:r>
      <w:r w:rsidR="00923C21">
        <w:t>Kupující</w:t>
      </w:r>
      <w:r w:rsidR="00587EF1">
        <w:t>ho</w:t>
      </w:r>
      <w:r w:rsidR="00BE12E8" w:rsidRPr="00312DC5">
        <w:t xml:space="preserve"> s </w:t>
      </w:r>
      <w:bookmarkStart w:id="17"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7"/>
      <w:r w:rsidR="00BE12E8" w:rsidRPr="00312DC5">
        <w:t xml:space="preserve"> ve výši 0,05</w:t>
      </w:r>
      <w:r w:rsidR="00C06770" w:rsidRPr="00312DC5">
        <w:t xml:space="preserve"> </w:t>
      </w:r>
      <w:r w:rsidR="00BE12E8" w:rsidRPr="00312DC5">
        <w:t xml:space="preserve">% z dlužné částky </w:t>
      </w:r>
      <w:bookmarkStart w:id="18" w:name="_Hlk510507603"/>
      <w:r w:rsidR="00BE12E8" w:rsidRPr="00312DC5">
        <w:t xml:space="preserve">za </w:t>
      </w:r>
      <w:r w:rsidR="002048FB" w:rsidRPr="00312DC5">
        <w:t xml:space="preserve">každý i započatý den </w:t>
      </w:r>
      <w:r w:rsidR="00BE12E8" w:rsidRPr="00312DC5">
        <w:t>prodlení</w:t>
      </w:r>
      <w:bookmarkEnd w:id="18"/>
      <w:r w:rsidR="008376F5">
        <w:t xml:space="preserve">. Obě Smluvní strany </w:t>
      </w:r>
      <w:r w:rsidR="008376F5" w:rsidRPr="008A4528">
        <w:t xml:space="preserve">sjednávají, že takto upravený úrok z prodlení je přiměřený. </w:t>
      </w:r>
    </w:p>
    <w:p w14:paraId="4E084808" w14:textId="30CC30B8" w:rsidR="00BE12E8" w:rsidRPr="00483BD6" w:rsidRDefault="00BE12E8" w:rsidP="00C82249">
      <w:pPr>
        <w:numPr>
          <w:ilvl w:val="0"/>
          <w:numId w:val="14"/>
        </w:numPr>
        <w:spacing w:after="120" w:line="240" w:lineRule="auto"/>
        <w:jc w:val="both"/>
      </w:pPr>
      <w:bookmarkStart w:id="19" w:name="_Hlk510511764"/>
      <w:bookmarkEnd w:id="16"/>
      <w:r w:rsidRPr="0058593F">
        <w:t xml:space="preserve">V případě, že </w:t>
      </w:r>
      <w:r w:rsidR="00923C21">
        <w:t xml:space="preserve">Prodávající </w:t>
      </w:r>
      <w:proofErr w:type="gramStart"/>
      <w:r w:rsidRPr="0058593F">
        <w:t>poruší</w:t>
      </w:r>
      <w:proofErr w:type="gramEnd"/>
      <w:r w:rsidRPr="0058593F">
        <w:t xml:space="preserve">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0"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20"/>
      <w:r w:rsidRPr="0058593F">
        <w:t xml:space="preserve">bude povinen zaplatit </w:t>
      </w:r>
      <w:r w:rsidR="00923C21">
        <w:t>Kupující</w:t>
      </w:r>
      <w:r w:rsidR="00587EF1">
        <w:t>mu</w:t>
      </w:r>
      <w:r w:rsidRPr="0058593F">
        <w:t xml:space="preserve"> smluvní pokutu ve </w:t>
      </w:r>
      <w:r w:rsidRPr="00483BD6">
        <w:t>výši 100</w:t>
      </w:r>
      <w:r w:rsidR="00937F9B" w:rsidRPr="00483BD6">
        <w:t xml:space="preserve"> </w:t>
      </w:r>
      <w:r w:rsidRPr="00483BD6">
        <w:t>000 Kč za každé takové porušení</w:t>
      </w:r>
    </w:p>
    <w:bookmarkEnd w:id="19"/>
    <w:p w14:paraId="2EC02C21" w14:textId="38CAE3FD"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1B09E1">
        <w:t>5</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w:t>
      </w:r>
      <w:r w:rsidRPr="00483BD6">
        <w:t>výši 20</w:t>
      </w:r>
      <w:r w:rsidR="00C06770" w:rsidRPr="00483BD6">
        <w:t xml:space="preserve"> </w:t>
      </w:r>
      <w:r w:rsidRPr="00483BD6">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21"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22" w:name="_Hlk510778708"/>
      <w:bookmarkEnd w:id="21"/>
      <w:r w:rsidRPr="00DC1937">
        <w:lastRenderedPageBreak/>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3" w:name="_Hlk510778694"/>
      <w:bookmarkEnd w:id="22"/>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4" w:name="_Hlk509488369"/>
      <w:bookmarkEnd w:id="23"/>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36BAED51" w14:textId="7478F509" w:rsidR="00DC1937" w:rsidRDefault="00DC1937" w:rsidP="00C82249">
      <w:pPr>
        <w:numPr>
          <w:ilvl w:val="0"/>
          <w:numId w:val="14"/>
        </w:numPr>
        <w:spacing w:after="120" w:line="240" w:lineRule="auto"/>
        <w:jc w:val="both"/>
      </w:pPr>
      <w:bookmarkStart w:id="25"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823D390" w14:textId="0C008B63" w:rsidR="00605F50" w:rsidRDefault="00605F50" w:rsidP="00605F50">
      <w:pPr>
        <w:spacing w:after="120" w:line="240" w:lineRule="auto"/>
        <w:jc w:val="both"/>
      </w:pPr>
    </w:p>
    <w:p w14:paraId="0BF0182E" w14:textId="77777777" w:rsidR="00605F50" w:rsidRPr="00DC1937" w:rsidRDefault="00605F50" w:rsidP="00605F50">
      <w:pPr>
        <w:spacing w:after="120" w:line="240" w:lineRule="auto"/>
        <w:jc w:val="both"/>
      </w:pP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6" w:name="_Hlk511034553"/>
      <w:bookmarkEnd w:id="25"/>
      <w:bookmarkEnd w:id="24"/>
      <w:bookmarkEnd w:id="14"/>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7" w:name="_Hlk510778903"/>
      <w:r w:rsidRPr="00F90E81">
        <w:t>Smluvní strany se dohodly, že závazek ze smluvního vztahu zaniká v těchto případech:</w:t>
      </w:r>
    </w:p>
    <w:bookmarkEnd w:id="27"/>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8"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9"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30" w:name="_Hlk510519190"/>
      <w:bookmarkEnd w:id="28"/>
    </w:p>
    <w:bookmarkEnd w:id="30"/>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9"/>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31"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11259" w:rsidRDefault="00F90499" w:rsidP="00C82249">
      <w:pPr>
        <w:pStyle w:val="Odstavecseseznamem"/>
        <w:numPr>
          <w:ilvl w:val="0"/>
          <w:numId w:val="15"/>
        </w:numPr>
      </w:pPr>
      <w:r>
        <w:t>prodlení s předáním předmětu koupě</w:t>
      </w:r>
      <w:r w:rsidR="00A53C45">
        <w:t xml:space="preserve">, které nemělo prokazatelně příčinu na straně </w:t>
      </w:r>
      <w:r w:rsidR="00923C21">
        <w:t>Kupující</w:t>
      </w:r>
      <w:r>
        <w:t>ho</w:t>
      </w:r>
      <w:r w:rsidR="00A53C45">
        <w:t>,</w:t>
      </w:r>
      <w:r w:rsidR="00BE12E8" w:rsidRPr="00DD7985">
        <w:t xml:space="preserve"> déle </w:t>
      </w:r>
      <w:r w:rsidR="00BE12E8" w:rsidRPr="00411259">
        <w:t xml:space="preserve">než </w:t>
      </w:r>
      <w:r w:rsidR="00AD5D0B" w:rsidRPr="00411259">
        <w:t>2</w:t>
      </w:r>
      <w:r w:rsidR="00BE12E8" w:rsidRPr="00411259">
        <w:t xml:space="preserve">0 </w:t>
      </w:r>
      <w:r w:rsidR="00AD5D0B" w:rsidRPr="00411259">
        <w:t>pracovních</w:t>
      </w:r>
      <w:r w:rsidR="001E5416" w:rsidRPr="00411259">
        <w:t xml:space="preserve"> dnů,</w:t>
      </w:r>
    </w:p>
    <w:p w14:paraId="5B024792" w14:textId="5EF5411E" w:rsidR="00BE12E8" w:rsidRPr="00DD7985" w:rsidRDefault="00BE12E8" w:rsidP="00C82249">
      <w:pPr>
        <w:pStyle w:val="Odstavecseseznamem"/>
        <w:numPr>
          <w:ilvl w:val="0"/>
          <w:numId w:val="15"/>
        </w:numPr>
      </w:pPr>
      <w:r w:rsidRPr="00DD7985">
        <w:t xml:space="preserve">zpoždění s plněním jakékoliv povinnosti stanovené touto </w:t>
      </w:r>
      <w:r w:rsidR="00B067C8">
        <w:t>Smlouv</w:t>
      </w:r>
      <w:r w:rsidRPr="00DD7985">
        <w:t xml:space="preserve">ou o více než 10 </w:t>
      </w:r>
      <w:r w:rsidR="00AD5D0B">
        <w:t>pracovních</w:t>
      </w:r>
      <w:r w:rsidR="002B3816">
        <w:t xml:space="preserve"> dnů,</w:t>
      </w:r>
    </w:p>
    <w:p w14:paraId="018098D7" w14:textId="521C3C54" w:rsidR="00BE12E8" w:rsidRPr="00DD7985" w:rsidRDefault="00BE12E8" w:rsidP="00C82249">
      <w:pPr>
        <w:pStyle w:val="Odstavecseseznamem"/>
        <w:numPr>
          <w:ilvl w:val="0"/>
          <w:numId w:val="15"/>
        </w:numPr>
      </w:pPr>
      <w:r w:rsidRPr="00DD7985">
        <w:t xml:space="preserve">neumožnění </w:t>
      </w:r>
      <w:r w:rsidR="00923C21">
        <w:t>Kupující</w:t>
      </w:r>
      <w:r w:rsidR="00380D3B">
        <w:t>mu</w:t>
      </w:r>
      <w:r w:rsidRPr="00DD7985">
        <w:t xml:space="preserve"> p</w:t>
      </w:r>
      <w:r w:rsidR="00DD3323">
        <w:t xml:space="preserve">rovádět kontrolu </w:t>
      </w:r>
      <w:r w:rsidR="00380D3B">
        <w:t xml:space="preserve">předmětu koupě při jeho převzetí </w:t>
      </w:r>
      <w:r w:rsidR="0056154C">
        <w:t>a</w:t>
      </w:r>
      <w:r w:rsidR="00380D3B">
        <w:t xml:space="preserve"> zprovoznění, </w:t>
      </w:r>
    </w:p>
    <w:p w14:paraId="2A0A6DE0" w14:textId="3AC71BEF" w:rsidR="00BE12E8" w:rsidRPr="00DD7985" w:rsidRDefault="00BE12E8" w:rsidP="00C82249">
      <w:pPr>
        <w:pStyle w:val="Odstavecseseznamem"/>
        <w:numPr>
          <w:ilvl w:val="0"/>
          <w:numId w:val="15"/>
        </w:numPr>
      </w:pPr>
      <w:r w:rsidRPr="00DD7985">
        <w:t>nedodržování příslušných platných př</w:t>
      </w:r>
      <w:r w:rsidR="00DD3323">
        <w:t>edpisů a ČSN</w:t>
      </w:r>
      <w:r w:rsidR="00C5158F">
        <w:t xml:space="preserve"> souvisejících s předmětem koupě</w:t>
      </w:r>
      <w:r w:rsidR="0056154C">
        <w:t>.</w:t>
      </w:r>
    </w:p>
    <w:p w14:paraId="636BC6F5" w14:textId="160CAEB6" w:rsidR="00BE12E8" w:rsidRPr="009F2373" w:rsidRDefault="00BE12E8" w:rsidP="00C82249">
      <w:pPr>
        <w:numPr>
          <w:ilvl w:val="0"/>
          <w:numId w:val="16"/>
        </w:numPr>
        <w:spacing w:after="120" w:line="240" w:lineRule="auto"/>
        <w:jc w:val="both"/>
      </w:pPr>
      <w:r w:rsidRPr="009F2373">
        <w:t xml:space="preserve">Odstoupení od </w:t>
      </w:r>
      <w:r w:rsidR="00B067C8" w:rsidRPr="009F2373">
        <w:t>Smlouv</w:t>
      </w:r>
      <w:r w:rsidRPr="009F2373">
        <w:t>y se dále řídí ustanovením § 2001 a násl. OZ.</w:t>
      </w:r>
    </w:p>
    <w:p w14:paraId="38BC8AFB" w14:textId="2CBF7EFF" w:rsidR="00BE12E8" w:rsidRPr="009F2373" w:rsidRDefault="00BE12E8" w:rsidP="00C82249">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C82249">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w:t>
      </w:r>
      <w:r w:rsidRPr="0056154C">
        <w:lastRenderedPageBreak/>
        <w:t xml:space="preserve">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C82249">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C82249">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C82249">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31"/>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6"/>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 xml:space="preserve">Veškeré spory ze Smlouvy se Smluvní strany zavazují řešit smírem a teprve pokud se spor </w:t>
      </w:r>
      <w:proofErr w:type="gramStart"/>
      <w:r>
        <w:t>nepodaří</w:t>
      </w:r>
      <w:proofErr w:type="gramEnd"/>
      <w:r>
        <w:t xml:space="preserve">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39702271" w14:textId="58189C27" w:rsidR="00605F50" w:rsidRDefault="00923C21" w:rsidP="00C82249">
      <w:pPr>
        <w:numPr>
          <w:ilvl w:val="0"/>
          <w:numId w:val="19"/>
        </w:numPr>
        <w:spacing w:after="60" w:line="240" w:lineRule="auto"/>
        <w:jc w:val="both"/>
      </w:pPr>
      <w:bookmarkStart w:id="32" w:name="_Hlk511034664"/>
      <w:r>
        <w:lastRenderedPageBreak/>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w:t>
      </w:r>
      <w:proofErr w:type="gramStart"/>
      <w:r w:rsidR="00AD5D0B" w:rsidRPr="007D28B5">
        <w:t>obdrží</w:t>
      </w:r>
      <w:proofErr w:type="gramEnd"/>
      <w:r w:rsidR="00AD5D0B" w:rsidRPr="007D28B5">
        <w:t xml:space="preserve">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p>
    <w:p w14:paraId="195CD4E7" w14:textId="4CBE3E7D" w:rsidR="007D28B5" w:rsidRPr="008A2743" w:rsidRDefault="00BA3E13" w:rsidP="00605F50">
      <w:pPr>
        <w:spacing w:after="60" w:line="240" w:lineRule="auto"/>
        <w:ind w:left="360"/>
        <w:jc w:val="both"/>
      </w:pPr>
      <w:r w:rsidRPr="00D5437E">
        <w:t xml:space="preserve"> </w:t>
      </w:r>
    </w:p>
    <w:bookmarkEnd w:id="32"/>
    <w:p w14:paraId="37A2D38A" w14:textId="22E5B905" w:rsidR="00F6466E" w:rsidRPr="003629C9" w:rsidRDefault="00923C21" w:rsidP="00C82249">
      <w:pPr>
        <w:pStyle w:val="Odstavecseseznamem"/>
        <w:numPr>
          <w:ilvl w:val="0"/>
          <w:numId w:val="19"/>
        </w:numPr>
        <w:tabs>
          <w:tab w:val="left" w:pos="426"/>
        </w:tabs>
        <w:spacing w:after="120"/>
        <w:rPr>
          <w:color w:val="000000"/>
          <w:sz w:val="22"/>
          <w:szCs w:val="22"/>
        </w:rPr>
      </w:pPr>
      <w:r w:rsidRPr="003629C9">
        <w:rPr>
          <w:color w:val="000000"/>
          <w:sz w:val="22"/>
          <w:szCs w:val="22"/>
        </w:rPr>
        <w:t xml:space="preserve">Prodávající </w:t>
      </w:r>
      <w:r w:rsidR="00F6466E" w:rsidRPr="003629C9">
        <w:rPr>
          <w:color w:val="000000"/>
          <w:sz w:val="22"/>
          <w:szCs w:val="22"/>
        </w:rPr>
        <w:t xml:space="preserve">je povinen uchovávat veškerou dokumentaci související s realizací projektu včetně účetních dokladů minimálně do konce </w:t>
      </w:r>
      <w:r w:rsidR="00F6466E" w:rsidRPr="003629C9">
        <w:rPr>
          <w:color w:val="000000"/>
          <w:sz w:val="22"/>
          <w:szCs w:val="22"/>
          <w:highlight w:val="cyan"/>
        </w:rPr>
        <w:t>roku 2028</w:t>
      </w:r>
      <w:r w:rsidR="00F6466E" w:rsidRPr="003629C9">
        <w:rPr>
          <w:color w:val="000000"/>
          <w:sz w:val="22"/>
          <w:szCs w:val="22"/>
        </w:rPr>
        <w:t xml:space="preserve">. Pokud je v českých právních předpisech stanovena lhůta delší, musí ji </w:t>
      </w:r>
      <w:r w:rsidRPr="003629C9">
        <w:rPr>
          <w:color w:val="000000"/>
          <w:sz w:val="22"/>
          <w:szCs w:val="22"/>
        </w:rPr>
        <w:t xml:space="preserve">Prodávající </w:t>
      </w:r>
      <w:r w:rsidR="00F6466E" w:rsidRPr="003629C9">
        <w:rPr>
          <w:color w:val="000000"/>
          <w:sz w:val="22"/>
          <w:szCs w:val="22"/>
        </w:rPr>
        <w:t>použít.</w:t>
      </w:r>
    </w:p>
    <w:p w14:paraId="7C9A2261" w14:textId="6BF7F648" w:rsidR="00F6466E" w:rsidRPr="003629C9" w:rsidRDefault="00923C21" w:rsidP="00C82249">
      <w:pPr>
        <w:pStyle w:val="Odstavecseseznamem"/>
        <w:numPr>
          <w:ilvl w:val="0"/>
          <w:numId w:val="19"/>
        </w:numPr>
        <w:tabs>
          <w:tab w:val="left" w:pos="426"/>
        </w:tabs>
        <w:spacing w:after="120"/>
        <w:rPr>
          <w:color w:val="000000"/>
          <w:sz w:val="22"/>
          <w:szCs w:val="22"/>
        </w:rPr>
      </w:pPr>
      <w:r w:rsidRPr="003629C9">
        <w:rPr>
          <w:color w:val="000000"/>
          <w:sz w:val="22"/>
          <w:szCs w:val="22"/>
        </w:rPr>
        <w:t xml:space="preserve">Prodávající </w:t>
      </w:r>
      <w:r w:rsidR="00F6466E" w:rsidRPr="003629C9">
        <w:rPr>
          <w:color w:val="000000"/>
          <w:sz w:val="22"/>
          <w:szCs w:val="22"/>
        </w:rPr>
        <w:t xml:space="preserve">je povinen minimálně do konce </w:t>
      </w:r>
      <w:r w:rsidR="00F6466E" w:rsidRPr="003629C9">
        <w:rPr>
          <w:color w:val="000000"/>
          <w:sz w:val="22"/>
          <w:szCs w:val="22"/>
          <w:highlight w:val="cyan"/>
        </w:rPr>
        <w:t>roku 2028</w:t>
      </w:r>
      <w:r w:rsidR="00F6466E" w:rsidRPr="003629C9">
        <w:rPr>
          <w:color w:val="000000"/>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14AD866" w14:textId="77777777" w:rsidR="00AD5D0B" w:rsidRDefault="00AD5D0B" w:rsidP="00C82249">
      <w:pPr>
        <w:numPr>
          <w:ilvl w:val="0"/>
          <w:numId w:val="19"/>
        </w:numPr>
        <w:spacing w:after="60" w:line="240" w:lineRule="auto"/>
        <w:jc w:val="both"/>
      </w:pPr>
      <w:r>
        <w:t xml:space="preserve">Tato Smlouva byla vyhotovena ve </w:t>
      </w:r>
      <w:r w:rsidRPr="00F15624">
        <w:t>dvou stejnopisech, z nichž</w:t>
      </w:r>
      <w:r>
        <w:t xml:space="preserve"> po jednom stejnopisu </w:t>
      </w:r>
      <w:proofErr w:type="gramStart"/>
      <w:r>
        <w:t>obdrží</w:t>
      </w:r>
      <w:proofErr w:type="gramEnd"/>
      <w:r>
        <w:t xml:space="preserve"> po jejím podpisu každá Smluvní strana. </w:t>
      </w:r>
    </w:p>
    <w:p w14:paraId="6F5CA169" w14:textId="380A420D" w:rsidR="00AD5D0B" w:rsidRDefault="00AD5D0B" w:rsidP="00C82249">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304ACA02" w:rsidR="00DC2159" w:rsidRDefault="00DC2159"/>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C82249">
      <w:pPr>
        <w:numPr>
          <w:ilvl w:val="0"/>
          <w:numId w:val="5"/>
        </w:numPr>
        <w:spacing w:after="60" w:line="240" w:lineRule="auto"/>
        <w:jc w:val="both"/>
      </w:pPr>
      <w:r>
        <w:t>Součástí Smlouvy jsou tyto přílohy:</w:t>
      </w:r>
    </w:p>
    <w:p w14:paraId="6B21178E" w14:textId="4E94AFF7"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77777777" w:rsidR="00BE12E8" w:rsidRPr="00A743BF" w:rsidRDefault="00BE12E8" w:rsidP="00BE12E8">
      <w:pPr>
        <w:spacing w:after="120" w:line="240" w:lineRule="auto"/>
        <w:ind w:left="708"/>
        <w:rPr>
          <w:szCs w:val="20"/>
        </w:rPr>
      </w:pPr>
      <w:r w:rsidRPr="00A743BF">
        <w:rPr>
          <w:szCs w:val="20"/>
        </w:rPr>
        <w:t>Příloha č. 2 – Záruka a záruční podmínky</w:t>
      </w:r>
    </w:p>
    <w:p w14:paraId="0C52DC6D" w14:textId="77777777" w:rsidR="00811D72" w:rsidRDefault="00BE12E8" w:rsidP="00811D72">
      <w:pPr>
        <w:spacing w:after="0" w:line="240" w:lineRule="auto"/>
        <w:ind w:left="709"/>
        <w:rPr>
          <w:szCs w:val="20"/>
        </w:rPr>
      </w:pPr>
      <w:r w:rsidRPr="00A743BF">
        <w:rPr>
          <w:szCs w:val="20"/>
        </w:rPr>
        <w:t xml:space="preserve">Příloha č. 3 – </w:t>
      </w:r>
      <w:r w:rsidR="00811D72" w:rsidRPr="00811D72">
        <w:rPr>
          <w:szCs w:val="20"/>
        </w:rPr>
        <w:t xml:space="preserve">Licenční ujednání upravující právo k užívání poskytnutého aplikačního </w:t>
      </w:r>
    </w:p>
    <w:p w14:paraId="77996C71" w14:textId="4352C531" w:rsidR="00811D72" w:rsidRPr="00811D72" w:rsidRDefault="00811D72" w:rsidP="00811D72">
      <w:pPr>
        <w:spacing w:after="120" w:line="240" w:lineRule="auto"/>
        <w:ind w:left="1416"/>
        <w:rPr>
          <w:szCs w:val="20"/>
        </w:rPr>
      </w:pPr>
      <w:r>
        <w:rPr>
          <w:szCs w:val="20"/>
        </w:rPr>
        <w:t xml:space="preserve">          </w:t>
      </w:r>
      <w:r w:rsidRPr="00811D72">
        <w:rPr>
          <w:szCs w:val="20"/>
        </w:rPr>
        <w:t>softwarového vybavení</w:t>
      </w:r>
    </w:p>
    <w:p w14:paraId="03F2BA65" w14:textId="5071F5AA" w:rsidR="00186E5E" w:rsidRPr="00A743BF" w:rsidRDefault="00186E5E" w:rsidP="00186E5E">
      <w:pPr>
        <w:spacing w:after="120" w:line="240" w:lineRule="auto"/>
        <w:ind w:left="708"/>
        <w:rPr>
          <w:szCs w:val="20"/>
        </w:rPr>
      </w:pPr>
      <w:r w:rsidRPr="00A743BF">
        <w:rPr>
          <w:szCs w:val="20"/>
        </w:rPr>
        <w:t xml:space="preserve">Příloha č. </w:t>
      </w:r>
      <w:r w:rsidR="00811D72">
        <w:rPr>
          <w:szCs w:val="20"/>
        </w:rPr>
        <w:t>4</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65AE374B" w:rsidR="00811D72" w:rsidRPr="00811D72" w:rsidRDefault="00811D72" w:rsidP="00811D72">
      <w:pPr>
        <w:spacing w:after="120" w:line="240" w:lineRule="auto"/>
        <w:ind w:left="708"/>
        <w:rPr>
          <w:szCs w:val="20"/>
        </w:rPr>
      </w:pPr>
      <w:r w:rsidRPr="00811D72">
        <w:rPr>
          <w:szCs w:val="20"/>
        </w:rPr>
        <w:t xml:space="preserve">Příloha č. 5 – Požadavky na součinnost </w:t>
      </w:r>
      <w:r w:rsidR="00923C21">
        <w:rPr>
          <w:szCs w:val="20"/>
        </w:rPr>
        <w:t>Kupující</w:t>
      </w:r>
      <w:r w:rsidR="00C5158F">
        <w:rPr>
          <w:szCs w:val="20"/>
        </w:rPr>
        <w:t>ho</w:t>
      </w:r>
    </w:p>
    <w:p w14:paraId="68A679C4" w14:textId="21B969C3" w:rsidR="00BE12E8" w:rsidRDefault="00BE12E8" w:rsidP="00BE12E8">
      <w:pPr>
        <w:spacing w:after="120" w:line="240" w:lineRule="auto"/>
        <w:ind w:left="708"/>
        <w:rPr>
          <w:szCs w:val="20"/>
        </w:rPr>
      </w:pPr>
      <w:r w:rsidRPr="00A743BF">
        <w:rPr>
          <w:szCs w:val="20"/>
        </w:rPr>
        <w:t xml:space="preserve">Příloha č. </w:t>
      </w:r>
      <w:r w:rsidR="00811D72">
        <w:rPr>
          <w:szCs w:val="20"/>
        </w:rPr>
        <w:t>6</w:t>
      </w:r>
      <w:r w:rsidR="00F90E81">
        <w:rPr>
          <w:szCs w:val="20"/>
        </w:rPr>
        <w:t xml:space="preserve"> </w:t>
      </w:r>
      <w:r w:rsidR="002026BC" w:rsidRPr="00A743BF">
        <w:rPr>
          <w:szCs w:val="20"/>
        </w:rPr>
        <w:t>– Zodpovědné</w:t>
      </w:r>
      <w:r w:rsidRPr="00A743BF">
        <w:rPr>
          <w:szCs w:val="20"/>
        </w:rPr>
        <w:t xml:space="preserve"> osoby</w:t>
      </w:r>
    </w:p>
    <w:p w14:paraId="52A5FAC9" w14:textId="77777777" w:rsidR="00F90E81" w:rsidRDefault="00F90E81" w:rsidP="00F90E81">
      <w:pPr>
        <w:spacing w:after="120" w:line="240" w:lineRule="auto"/>
        <w:ind w:left="1985" w:hanging="1277"/>
        <w:rPr>
          <w:szCs w:val="20"/>
        </w:rPr>
      </w:pPr>
      <w:r w:rsidRPr="00A743BF">
        <w:rPr>
          <w:szCs w:val="20"/>
        </w:rPr>
        <w:t xml:space="preserve">Příloha č. </w:t>
      </w:r>
      <w:r>
        <w:rPr>
          <w:szCs w:val="20"/>
        </w:rPr>
        <w:t xml:space="preserve">7 </w:t>
      </w:r>
      <w:r w:rsidRPr="00A743BF">
        <w:rPr>
          <w:szCs w:val="20"/>
        </w:rPr>
        <w:t>– Bezpečnostní</w:t>
      </w:r>
      <w:r w:rsidRPr="007D741A">
        <w:rPr>
          <w:szCs w:val="20"/>
        </w:rPr>
        <w:t xml:space="preserve"> požadavky </w:t>
      </w:r>
    </w:p>
    <w:p w14:paraId="4A9FA72D" w14:textId="0676BAAC" w:rsidR="002026BC" w:rsidRDefault="002026BC" w:rsidP="002026BC">
      <w:pPr>
        <w:spacing w:after="120" w:line="240" w:lineRule="auto"/>
        <w:ind w:left="708"/>
        <w:rPr>
          <w:szCs w:val="20"/>
        </w:rPr>
      </w:pPr>
    </w:p>
    <w:p w14:paraId="05556CF6" w14:textId="77777777" w:rsidR="000769C2" w:rsidRDefault="000769C2" w:rsidP="003007B4">
      <w:pPr>
        <w:spacing w:after="120" w:line="240" w:lineRule="auto"/>
        <w:ind w:left="708"/>
        <w:rPr>
          <w:szCs w:val="20"/>
        </w:rPr>
      </w:pPr>
    </w:p>
    <w:p w14:paraId="4C7DC9E6" w14:textId="77777777" w:rsidR="000769C2" w:rsidRPr="00A46892" w:rsidRDefault="000769C2" w:rsidP="00C82249">
      <w:pPr>
        <w:numPr>
          <w:ilvl w:val="0"/>
          <w:numId w:val="5"/>
        </w:numPr>
        <w:spacing w:after="60" w:line="240" w:lineRule="auto"/>
        <w:jc w:val="both"/>
      </w:pPr>
      <w:bookmarkStart w:id="33" w:name="_Hlk515603160"/>
      <w:r w:rsidRPr="00A46892">
        <w:lastRenderedPageBreak/>
        <w:t xml:space="preserve">Vyplnění </w:t>
      </w:r>
      <w:r>
        <w:t xml:space="preserve">všech </w:t>
      </w:r>
      <w:r w:rsidRPr="00A46892">
        <w:t>příloh</w:t>
      </w:r>
      <w:r>
        <w:t>, které vyplňuje Prodávající,</w:t>
      </w:r>
      <w:r w:rsidRPr="00A46892">
        <w:t xml:space="preserve"> musí odpovídat požadavkům na předmět veřejné zakázky.</w:t>
      </w:r>
    </w:p>
    <w:bookmarkEnd w:id="33"/>
    <w:p w14:paraId="575F6DF3" w14:textId="5E38FD60" w:rsidR="00BE12E8" w:rsidRDefault="00BE12E8" w:rsidP="00BE12E8">
      <w:pPr>
        <w:ind w:right="-766"/>
        <w:jc w:val="both"/>
      </w:pPr>
    </w:p>
    <w:p w14:paraId="26A4D195" w14:textId="736F650F" w:rsidR="006C6BD0" w:rsidRPr="00651661" w:rsidRDefault="006C6BD0" w:rsidP="006C6BD0">
      <w:pPr>
        <w:spacing w:after="12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r>
      <w:r>
        <w:rPr>
          <w:szCs w:val="20"/>
        </w:rPr>
        <w:tab/>
      </w:r>
      <w:r>
        <w:rPr>
          <w:szCs w:val="20"/>
        </w:rPr>
        <w:tab/>
      </w:r>
      <w:r>
        <w:rPr>
          <w:szCs w:val="20"/>
        </w:rPr>
        <w:tab/>
      </w:r>
      <w:r>
        <w:rPr>
          <w:szCs w:val="20"/>
        </w:rPr>
        <w:tab/>
      </w:r>
      <w:r>
        <w:rPr>
          <w:szCs w:val="20"/>
        </w:rPr>
        <w:tab/>
        <w:t xml:space="preserve">Za </w:t>
      </w:r>
      <w:r w:rsidR="00C65DF2">
        <w:rPr>
          <w:szCs w:val="20"/>
        </w:rPr>
        <w:t>Prodávajícího</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34"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34"/>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22F3A75" w:rsidR="006C6BD0" w:rsidRDefault="006C6BD0" w:rsidP="006C6BD0">
      <w:pPr>
        <w:spacing w:after="0"/>
      </w:pPr>
      <w:r>
        <w:t xml:space="preserve">       MUDr. Tomáš Gottvald</w:t>
      </w:r>
      <w:r w:rsidR="002026BC">
        <w:t>, MHA</w:t>
      </w:r>
      <w:r>
        <w:tab/>
      </w:r>
      <w:r>
        <w:tab/>
      </w:r>
      <w:r>
        <w:tab/>
      </w:r>
      <w:r>
        <w:tab/>
      </w:r>
      <w:r>
        <w:tab/>
      </w:r>
      <w:r w:rsidRPr="00AA7B64">
        <w:rPr>
          <w:highlight w:val="yellow"/>
        </w:rPr>
        <w:t>jméno</w:t>
      </w:r>
    </w:p>
    <w:p w14:paraId="08299229" w14:textId="1EE09E43" w:rsidR="006C6BD0" w:rsidRDefault="00C6685B" w:rsidP="006C6BD0">
      <w:pPr>
        <w:spacing w:after="0"/>
      </w:pPr>
      <w:r>
        <w:t xml:space="preserve">      </w:t>
      </w:r>
      <w:r w:rsidR="006C6BD0">
        <w:t xml:space="preserve">    předseda představenstva</w:t>
      </w:r>
      <w:r w:rsidR="006C6BD0">
        <w:tab/>
      </w:r>
      <w:r w:rsidR="006C6BD0">
        <w:tab/>
      </w:r>
      <w:r w:rsidR="006C6BD0">
        <w:tab/>
      </w:r>
      <w:r w:rsidR="006C6BD0">
        <w:tab/>
      </w:r>
      <w:r w:rsidR="006C6BD0">
        <w:tab/>
      </w:r>
      <w:r w:rsidR="006C6BD0">
        <w:tab/>
      </w:r>
      <w:r w:rsidR="006C6BD0" w:rsidRPr="00AA7B64">
        <w:rPr>
          <w:highlight w:val="yellow"/>
        </w:rPr>
        <w:t>pozice</w:t>
      </w:r>
      <w:r w:rsidR="006C6BD0">
        <w:tab/>
      </w:r>
    </w:p>
    <w:p w14:paraId="3DD8D45C" w14:textId="77777777" w:rsidR="006C6BD0" w:rsidRDefault="006C6BD0" w:rsidP="006C6BD0">
      <w:pPr>
        <w:spacing w:before="120" w:after="120"/>
      </w:pPr>
    </w:p>
    <w:p w14:paraId="70ACFA86" w14:textId="77777777" w:rsidR="00AD66B2" w:rsidRDefault="00AD66B2" w:rsidP="006C6BD0">
      <w:pPr>
        <w:spacing w:before="120" w:after="120"/>
      </w:pPr>
    </w:p>
    <w:p w14:paraId="3713C949" w14:textId="77777777" w:rsidR="00AD66B2" w:rsidRDefault="00AD66B2" w:rsidP="006C6BD0">
      <w:pPr>
        <w:spacing w:before="120" w:after="120"/>
      </w:pPr>
    </w:p>
    <w:p w14:paraId="0D1DD0DC" w14:textId="77777777" w:rsidR="00AD66B2" w:rsidRDefault="00AD66B2"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251F98DA" w:rsidR="006C6BD0" w:rsidRDefault="00AD66B2" w:rsidP="00C154A1">
      <w:pPr>
        <w:spacing w:after="0"/>
      </w:pPr>
      <w:r>
        <w:t xml:space="preserve">        </w:t>
      </w:r>
      <w:r w:rsidR="006C6BD0">
        <w:t xml:space="preserve">Ing. </w:t>
      </w:r>
      <w:r w:rsidR="00C45A4B">
        <w:t>Hynek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5"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77777777" w:rsidR="000163A7" w:rsidRDefault="000163A7" w:rsidP="00D67196">
      <w:bookmarkStart w:id="36" w:name="_Hlk506979792"/>
      <w:bookmarkEnd w:id="35"/>
      <w:r>
        <w:rPr>
          <w:highlight w:val="yellow"/>
        </w:rPr>
        <w:t xml:space="preserve">Přílohu vyplňuje Prodávající </w:t>
      </w:r>
    </w:p>
    <w:p w14:paraId="708B59E4" w14:textId="77777777" w:rsidR="00D90988" w:rsidRDefault="00D90988" w:rsidP="00D67196">
      <w:pPr>
        <w:rPr>
          <w:szCs w:val="20"/>
        </w:rPr>
      </w:pPr>
    </w:p>
    <w:p w14:paraId="62D105B3" w14:textId="6BA69412" w:rsidR="00D67196" w:rsidRDefault="000163A7" w:rsidP="00D67196">
      <w:pPr>
        <w:rPr>
          <w:szCs w:val="20"/>
        </w:rPr>
      </w:pPr>
      <w:r>
        <w:rPr>
          <w:szCs w:val="20"/>
        </w:rPr>
        <w:t>Předmět koupě je tvořen t</w:t>
      </w:r>
      <w:r w:rsidR="00D90988">
        <w:rPr>
          <w:szCs w:val="20"/>
        </w:rPr>
        <w:t xml:space="preserve">ěmito </w:t>
      </w:r>
      <w:r w:rsidR="00DC65CF">
        <w:rPr>
          <w:szCs w:val="20"/>
        </w:rPr>
        <w:t>hardwar</w:t>
      </w:r>
      <w:r w:rsidR="00D90988">
        <w:rPr>
          <w:szCs w:val="20"/>
        </w:rPr>
        <w:t xml:space="preserve">ovými </w:t>
      </w:r>
      <w:r w:rsidR="00DC65CF">
        <w:rPr>
          <w:szCs w:val="20"/>
        </w:rPr>
        <w:t>a softwar</w:t>
      </w:r>
      <w:r w:rsidR="00D90988">
        <w:rPr>
          <w:szCs w:val="20"/>
        </w:rPr>
        <w:t xml:space="preserve">ovými </w:t>
      </w:r>
      <w:proofErr w:type="gramStart"/>
      <w:r w:rsidR="00D90988">
        <w:rPr>
          <w:szCs w:val="20"/>
        </w:rPr>
        <w:t>prostředky</w:t>
      </w:r>
      <w:r w:rsidR="00DC65CF">
        <w:rPr>
          <w:szCs w:val="20"/>
        </w:rPr>
        <w:t xml:space="preserve"> :</w:t>
      </w:r>
      <w:proofErr w:type="gramEnd"/>
    </w:p>
    <w:bookmarkEnd w:id="36"/>
    <w:p w14:paraId="1FE18DF7" w14:textId="77777777" w:rsidR="00D90988" w:rsidRDefault="00D90988" w:rsidP="000163A7">
      <w:pPr>
        <w:rPr>
          <w:highlight w:val="yellow"/>
        </w:rPr>
      </w:pPr>
    </w:p>
    <w:p w14:paraId="3DA327E6" w14:textId="440F7D4B" w:rsidR="00C13524" w:rsidRPr="00D879BD" w:rsidRDefault="00C13524" w:rsidP="000163A7">
      <w:pPr>
        <w:rPr>
          <w:highlight w:val="yellow"/>
        </w:rPr>
      </w:pPr>
      <w:r w:rsidRPr="00D879BD">
        <w:rPr>
          <w:highlight w:val="yellow"/>
        </w:rPr>
        <w:t>Prodávající uvede název předmětu koupě, vč. rozpisu formou tabulky</w:t>
      </w:r>
      <w:r w:rsidR="00D90988" w:rsidRPr="00D879BD">
        <w:rPr>
          <w:highlight w:val="yellow"/>
        </w:rPr>
        <w:t>.</w:t>
      </w:r>
    </w:p>
    <w:p w14:paraId="003A4E70" w14:textId="77777777" w:rsidR="00C13524" w:rsidRDefault="00C13524" w:rsidP="00C13524">
      <w:pPr>
        <w:rPr>
          <w:highlight w:val="yellow"/>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30"/>
        <w:gridCol w:w="1417"/>
      </w:tblGrid>
      <w:tr w:rsidR="004A749D" w:rsidRPr="00502FBB" w14:paraId="32C64B1D" w14:textId="77777777" w:rsidTr="00BB17B0">
        <w:trPr>
          <w:trHeight w:val="568"/>
          <w:tblHeader/>
        </w:trPr>
        <w:tc>
          <w:tcPr>
            <w:tcW w:w="8647" w:type="dxa"/>
            <w:gridSpan w:val="2"/>
            <w:tcBorders>
              <w:bottom w:val="single" w:sz="4" w:space="0" w:color="auto"/>
            </w:tcBorders>
            <w:shd w:val="clear" w:color="auto" w:fill="FFF2CC" w:themeFill="accent4" w:themeFillTint="33"/>
            <w:vAlign w:val="center"/>
          </w:tcPr>
          <w:p w14:paraId="16FE3F12" w14:textId="4409BFDD" w:rsidR="004A749D" w:rsidRDefault="00D90988" w:rsidP="001D7451">
            <w:pPr>
              <w:spacing w:after="0" w:line="240" w:lineRule="auto"/>
              <w:jc w:val="center"/>
              <w:rPr>
                <w:rFonts w:cs="Tahoma"/>
                <w:b/>
                <w:bCs/>
              </w:rPr>
            </w:pPr>
            <w:r>
              <w:rPr>
                <w:rFonts w:cs="Tahoma"/>
                <w:b/>
                <w:bCs/>
              </w:rPr>
              <w:t>Hardwarové a softwarové prostředky</w:t>
            </w:r>
          </w:p>
        </w:tc>
      </w:tr>
      <w:tr w:rsidR="004A749D" w:rsidRPr="00502FBB" w14:paraId="7BDC32ED" w14:textId="77777777" w:rsidTr="004A749D">
        <w:trPr>
          <w:trHeight w:val="568"/>
          <w:tblHeader/>
        </w:trPr>
        <w:tc>
          <w:tcPr>
            <w:tcW w:w="7230" w:type="dxa"/>
            <w:tcBorders>
              <w:bottom w:val="single" w:sz="4" w:space="0" w:color="auto"/>
            </w:tcBorders>
            <w:shd w:val="clear" w:color="auto" w:fill="FFF2CC" w:themeFill="accent4" w:themeFillTint="33"/>
            <w:vAlign w:val="center"/>
          </w:tcPr>
          <w:p w14:paraId="187C3FA9" w14:textId="77777777" w:rsidR="004A749D" w:rsidRPr="00DA1B6D" w:rsidRDefault="004A749D" w:rsidP="001D7451">
            <w:pPr>
              <w:spacing w:after="0" w:line="240" w:lineRule="auto"/>
              <w:jc w:val="center"/>
              <w:rPr>
                <w:rFonts w:cs="Tahoma"/>
                <w:b/>
                <w:bCs/>
                <w:highlight w:val="yellow"/>
              </w:rPr>
            </w:pPr>
            <w:r w:rsidRPr="00DA1B6D">
              <w:rPr>
                <w:rFonts w:cs="Tahoma"/>
                <w:b/>
                <w:bCs/>
                <w:highlight w:val="yellow"/>
              </w:rPr>
              <w:t>Položka</w:t>
            </w:r>
          </w:p>
          <w:p w14:paraId="71A2FAF4" w14:textId="77777777" w:rsidR="004A749D" w:rsidRPr="005D49F7" w:rsidRDefault="004A749D" w:rsidP="001D7451">
            <w:pPr>
              <w:spacing w:after="0" w:line="240" w:lineRule="auto"/>
              <w:jc w:val="center"/>
              <w:rPr>
                <w:rFonts w:cs="Tahoma"/>
                <w:b/>
                <w:bCs/>
                <w:highlight w:val="yellow"/>
              </w:rPr>
            </w:pPr>
            <w:r w:rsidRPr="00DA1B6D">
              <w:rPr>
                <w:rFonts w:cs="Tahoma"/>
                <w:b/>
                <w:bCs/>
                <w:highlight w:val="yellow"/>
              </w:rPr>
              <w:t>(Produktové číslo</w:t>
            </w:r>
            <w:r w:rsidRPr="005D49F7">
              <w:rPr>
                <w:rFonts w:cs="Tahoma"/>
                <w:b/>
                <w:bCs/>
              </w:rPr>
              <w:t>)</w:t>
            </w:r>
          </w:p>
        </w:tc>
        <w:tc>
          <w:tcPr>
            <w:tcW w:w="1417" w:type="dxa"/>
            <w:tcBorders>
              <w:bottom w:val="single" w:sz="4" w:space="0" w:color="auto"/>
            </w:tcBorders>
            <w:shd w:val="clear" w:color="auto" w:fill="FFF2CC" w:themeFill="accent4" w:themeFillTint="33"/>
            <w:vAlign w:val="center"/>
          </w:tcPr>
          <w:p w14:paraId="647F1F2F" w14:textId="49811503" w:rsidR="004A749D" w:rsidRDefault="004A749D" w:rsidP="001D7451">
            <w:pPr>
              <w:spacing w:after="0" w:line="240" w:lineRule="auto"/>
              <w:jc w:val="center"/>
              <w:rPr>
                <w:rFonts w:cs="Tahoma"/>
                <w:b/>
                <w:bCs/>
              </w:rPr>
            </w:pPr>
            <w:r>
              <w:rPr>
                <w:rFonts w:cs="Tahoma"/>
                <w:b/>
                <w:bCs/>
              </w:rPr>
              <w:t>Počet (ks)</w:t>
            </w:r>
          </w:p>
        </w:tc>
      </w:tr>
      <w:tr w:rsidR="004A749D" w:rsidRPr="00502FBB" w14:paraId="72021FDE" w14:textId="77777777" w:rsidTr="00D741EC">
        <w:trPr>
          <w:trHeight w:val="397"/>
        </w:trPr>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p w14:paraId="499A9AAB" w14:textId="282A8C37" w:rsidR="004A749D" w:rsidRPr="006C3D60" w:rsidRDefault="004A749D" w:rsidP="001D7451">
            <w:pPr>
              <w:spacing w:after="0" w:line="240" w:lineRule="auto"/>
              <w:rPr>
                <w:highlight w:val="yellow"/>
              </w:rPr>
            </w:pPr>
            <w:r w:rsidRPr="006C3D60">
              <w:rPr>
                <w:highlight w:val="yellow"/>
              </w:rPr>
              <w:t>Fyzický server</w:t>
            </w:r>
            <w:r w:rsidR="0001045B" w:rsidRPr="006C3D60">
              <w:rPr>
                <w:highlight w:val="yellow"/>
              </w:rPr>
              <w:t xml:space="preserve"> s</w:t>
            </w:r>
            <w:r w:rsidR="00B77178" w:rsidRPr="006C3D60">
              <w:rPr>
                <w:highlight w:val="yellow"/>
              </w:rPr>
              <w:t> </w:t>
            </w:r>
            <w:r w:rsidR="00D741EC" w:rsidRPr="006C3D60">
              <w:rPr>
                <w:highlight w:val="yellow"/>
              </w:rPr>
              <w:t>licencí</w:t>
            </w:r>
            <w:r w:rsidR="00B77178" w:rsidRPr="006C3D60">
              <w:rPr>
                <w:highlight w:val="yellow"/>
              </w:rPr>
              <w:t xml:space="preserve"> již</w:t>
            </w:r>
            <w:r w:rsidR="00D741EC" w:rsidRPr="006C3D60">
              <w:rPr>
                <w:highlight w:val="yellow"/>
              </w:rPr>
              <w:t xml:space="preserve"> provozovaného software pro virtualizaci a zálohování</w:t>
            </w:r>
            <w:r w:rsidR="00B77178" w:rsidRPr="006C3D60">
              <w:rPr>
                <w:highlight w:val="yellow"/>
              </w:rPr>
              <w:t xml:space="preserve"> </w:t>
            </w:r>
            <w:r w:rsidR="006C3D60" w:rsidRPr="006C3D60">
              <w:rPr>
                <w:highlight w:val="yellow"/>
              </w:rPr>
              <w:t>(</w:t>
            </w:r>
            <w:r w:rsidR="00B77178" w:rsidRPr="006C3D60">
              <w:rPr>
                <w:highlight w:val="yellow"/>
              </w:rPr>
              <w:t>záruk</w:t>
            </w:r>
            <w:r w:rsidR="006C3D60" w:rsidRPr="006C3D60">
              <w:rPr>
                <w:highlight w:val="yellow"/>
              </w:rPr>
              <w:t>a</w:t>
            </w:r>
            <w:r w:rsidR="00B77178" w:rsidRPr="006C3D60">
              <w:rPr>
                <w:highlight w:val="yellow"/>
              </w:rPr>
              <w:t xml:space="preserve"> </w:t>
            </w:r>
            <w:r w:rsidR="006C3D60">
              <w:rPr>
                <w:highlight w:val="yellow"/>
              </w:rPr>
              <w:t>60 měsíců</w:t>
            </w:r>
            <w:r w:rsidR="006C3D60" w:rsidRPr="006C3D60">
              <w:rPr>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35BC0DA" w14:textId="20521D61" w:rsidR="004A749D" w:rsidRPr="00A775DB" w:rsidRDefault="004A749D" w:rsidP="001D7451">
            <w:pPr>
              <w:spacing w:after="0" w:line="240" w:lineRule="auto"/>
              <w:jc w:val="center"/>
              <w:rPr>
                <w:rFonts w:cs="Calibri"/>
              </w:rPr>
            </w:pPr>
            <w:r>
              <w:rPr>
                <w:rFonts w:cs="Calibri"/>
              </w:rPr>
              <w:t>2</w:t>
            </w:r>
          </w:p>
        </w:tc>
      </w:tr>
      <w:tr w:rsidR="00D741EC" w:rsidRPr="00502FBB" w14:paraId="6C7AE898" w14:textId="77777777" w:rsidTr="004A749D">
        <w:trPr>
          <w:trHeight w:val="397"/>
        </w:trPr>
        <w:tc>
          <w:tcPr>
            <w:tcW w:w="7230" w:type="dxa"/>
            <w:tcBorders>
              <w:top w:val="single" w:sz="4" w:space="0" w:color="auto"/>
              <w:left w:val="single" w:sz="4" w:space="0" w:color="auto"/>
              <w:right w:val="single" w:sz="4" w:space="0" w:color="auto"/>
            </w:tcBorders>
            <w:shd w:val="clear" w:color="auto" w:fill="auto"/>
            <w:vAlign w:val="center"/>
          </w:tcPr>
          <w:p w14:paraId="12084C32" w14:textId="429BCB88" w:rsidR="00D741EC" w:rsidRPr="006C3D60" w:rsidRDefault="00671E25" w:rsidP="001D7451">
            <w:pPr>
              <w:spacing w:after="0" w:line="240" w:lineRule="auto"/>
              <w:rPr>
                <w:highlight w:val="yellow"/>
              </w:rPr>
            </w:pPr>
            <w:r w:rsidRPr="006C3D60">
              <w:rPr>
                <w:highlight w:val="yellow"/>
              </w:rPr>
              <w:t xml:space="preserve">LCD </w:t>
            </w:r>
            <w:proofErr w:type="gramStart"/>
            <w:r w:rsidRPr="006C3D60">
              <w:rPr>
                <w:highlight w:val="yellow"/>
              </w:rPr>
              <w:t>monitory</w:t>
            </w:r>
            <w:r w:rsidR="00F112E9" w:rsidRPr="006C3D60">
              <w:rPr>
                <w:highlight w:val="yellow"/>
              </w:rPr>
              <w:t xml:space="preserve">  </w:t>
            </w:r>
            <w:r w:rsidR="006C3D60" w:rsidRPr="006C3D60">
              <w:rPr>
                <w:highlight w:val="yellow"/>
              </w:rPr>
              <w:t>(</w:t>
            </w:r>
            <w:proofErr w:type="gramEnd"/>
            <w:r w:rsidR="00F112E9" w:rsidRPr="006C3D60">
              <w:rPr>
                <w:highlight w:val="yellow"/>
              </w:rPr>
              <w:t xml:space="preserve">záruka </w:t>
            </w:r>
            <w:r w:rsidR="006C3D60" w:rsidRPr="006C3D60">
              <w:rPr>
                <w:highlight w:val="yellow"/>
              </w:rPr>
              <w:t>36 měsíců)</w:t>
            </w:r>
          </w:p>
        </w:tc>
        <w:tc>
          <w:tcPr>
            <w:tcW w:w="1417" w:type="dxa"/>
            <w:tcBorders>
              <w:top w:val="single" w:sz="4" w:space="0" w:color="auto"/>
              <w:left w:val="single" w:sz="4" w:space="0" w:color="auto"/>
              <w:right w:val="single" w:sz="4" w:space="0" w:color="auto"/>
            </w:tcBorders>
            <w:shd w:val="clear" w:color="auto" w:fill="auto"/>
            <w:vAlign w:val="center"/>
          </w:tcPr>
          <w:p w14:paraId="635FC7A5" w14:textId="0F5334DC" w:rsidR="00D741EC" w:rsidRDefault="00671E25" w:rsidP="001D7451">
            <w:pPr>
              <w:spacing w:after="0" w:line="240" w:lineRule="auto"/>
              <w:jc w:val="center"/>
              <w:rPr>
                <w:rFonts w:cs="Calibri"/>
              </w:rPr>
            </w:pPr>
            <w:r>
              <w:rPr>
                <w:rFonts w:cs="Calibri"/>
              </w:rPr>
              <w:t>525</w:t>
            </w:r>
          </w:p>
        </w:tc>
      </w:tr>
    </w:tbl>
    <w:p w14:paraId="3ED58518" w14:textId="77777777" w:rsidR="00C13524" w:rsidRDefault="00C13524" w:rsidP="000163A7">
      <w:pPr>
        <w:rPr>
          <w:highlight w:val="yellow"/>
        </w:rPr>
      </w:pPr>
    </w:p>
    <w:p w14:paraId="633DA4C9" w14:textId="77777777" w:rsidR="00DC65CF" w:rsidRDefault="00DC65CF" w:rsidP="000163A7">
      <w:pPr>
        <w:rPr>
          <w:highlight w:val="yellow"/>
        </w:rPr>
      </w:pPr>
    </w:p>
    <w:p w14:paraId="3E1C0AAE" w14:textId="77777777" w:rsidR="000163A7" w:rsidRDefault="000163A7">
      <w:pPr>
        <w:rPr>
          <w:highlight w:val="yellow"/>
        </w:rPr>
      </w:pPr>
      <w:r>
        <w:rPr>
          <w:highlight w:val="yellow"/>
        </w:rPr>
        <w:br w:type="page"/>
      </w:r>
    </w:p>
    <w:p w14:paraId="17B077DB" w14:textId="0B265E3C"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67D12835" w:rsidR="00E62CA3" w:rsidRPr="007C5DB2" w:rsidRDefault="00923C21" w:rsidP="00E62CA3">
      <w:pPr>
        <w:rPr>
          <w:color w:val="767171" w:themeColor="background2" w:themeShade="80"/>
        </w:rPr>
      </w:pPr>
      <w:bookmarkStart w:id="37" w:name="_Toc472491069"/>
      <w:r>
        <w:rPr>
          <w:b/>
          <w:color w:val="767171" w:themeColor="background2" w:themeShade="80"/>
          <w:highlight w:val="yellow"/>
        </w:rPr>
        <w:t xml:space="preserve">Prodávající </w:t>
      </w:r>
      <w:r w:rsidR="00E62CA3" w:rsidRPr="005D0C72">
        <w:rPr>
          <w:b/>
          <w:color w:val="767171" w:themeColor="background2" w:themeShade="80"/>
          <w:highlight w:val="yellow"/>
        </w:rPr>
        <w:t xml:space="preserve">zde uvede údaje o zárukách poskytnutých na </w:t>
      </w:r>
      <w:r w:rsidR="0068487D">
        <w:rPr>
          <w:b/>
          <w:color w:val="767171" w:themeColor="background2" w:themeShade="80"/>
          <w:highlight w:val="yellow"/>
        </w:rPr>
        <w:t xml:space="preserve">předmět </w:t>
      </w:r>
      <w:r w:rsidR="00C5158F">
        <w:rPr>
          <w:b/>
          <w:color w:val="767171" w:themeColor="background2" w:themeShade="80"/>
          <w:highlight w:val="yellow"/>
        </w:rPr>
        <w:t>koupě</w:t>
      </w:r>
      <w:r w:rsidR="0068487D">
        <w:rPr>
          <w:b/>
          <w:color w:val="767171" w:themeColor="background2" w:themeShade="80"/>
          <w:highlight w:val="yellow"/>
        </w:rPr>
        <w:t>, resp. na jednotlivá technická zařízení, uvede</w:t>
      </w:r>
      <w:r w:rsidR="00E62CA3" w:rsidRPr="005D0C72">
        <w:rPr>
          <w:b/>
          <w:color w:val="767171" w:themeColor="background2" w:themeShade="80"/>
          <w:highlight w:val="yellow"/>
        </w:rPr>
        <w:t xml:space="preserve"> záruční podmínky a termíny (dob</w:t>
      </w:r>
      <w:r w:rsidR="00E62CA3">
        <w:rPr>
          <w:b/>
          <w:color w:val="767171" w:themeColor="background2" w:themeShade="80"/>
          <w:highlight w:val="yellow"/>
        </w:rPr>
        <w:t>y</w:t>
      </w:r>
      <w:r w:rsidR="00E62CA3" w:rsidRPr="005D0C72">
        <w:rPr>
          <w:b/>
          <w:color w:val="767171" w:themeColor="background2" w:themeShade="80"/>
          <w:highlight w:val="yellow"/>
        </w:rPr>
        <w:t xml:space="preserve"> záruky</w:t>
      </w:r>
      <w:r w:rsidR="00E62CA3">
        <w:rPr>
          <w:b/>
          <w:color w:val="767171" w:themeColor="background2" w:themeShade="80"/>
          <w:highlight w:val="yellow"/>
        </w:rPr>
        <w:t xml:space="preserve"> dle jednotlivých </w:t>
      </w:r>
      <w:r w:rsidR="0068487D">
        <w:rPr>
          <w:b/>
          <w:color w:val="767171" w:themeColor="background2" w:themeShade="80"/>
          <w:highlight w:val="yellow"/>
        </w:rPr>
        <w:t>zařízení)</w:t>
      </w:r>
      <w:r w:rsidR="0068487D">
        <w:rPr>
          <w:b/>
          <w:color w:val="767171" w:themeColor="background2" w:themeShade="80"/>
        </w:rPr>
        <w:t>.</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02771A4D"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5731BFDD" w14:textId="77777777" w:rsidR="00186E5E" w:rsidRDefault="00186E5E" w:rsidP="00186E5E">
      <w:pPr>
        <w:rPr>
          <w:b/>
          <w:color w:val="767171" w:themeColor="background2" w:themeShade="80"/>
          <w:highlight w:val="yellow"/>
        </w:rPr>
      </w:pPr>
    </w:p>
    <w:p w14:paraId="0BBD6F31" w14:textId="77777777" w:rsidR="00B55F8D" w:rsidRPr="00E914D3" w:rsidRDefault="00B55F8D" w:rsidP="00B55F8D">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 v Příloze č.1.</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4FD446D9" w14:textId="77777777" w:rsidR="00841136" w:rsidRDefault="00841136" w:rsidP="00841136">
      <w:pPr>
        <w:rPr>
          <w:b/>
          <w:color w:val="767171" w:themeColor="background2" w:themeShade="80"/>
          <w:highlight w:val="yellow"/>
        </w:rPr>
      </w:pPr>
      <w:r>
        <w:rPr>
          <w:b/>
          <w:color w:val="767171" w:themeColor="background2" w:themeShade="80"/>
          <w:highlight w:val="yellow"/>
        </w:rPr>
        <w:t xml:space="preserve">Prodávající </w:t>
      </w:r>
      <w:r w:rsidRPr="00143FF4">
        <w:rPr>
          <w:b/>
          <w:color w:val="767171" w:themeColor="background2" w:themeShade="80"/>
          <w:highlight w:val="yellow"/>
        </w:rPr>
        <w:t xml:space="preserve">zde uvede </w:t>
      </w:r>
      <w:r>
        <w:rPr>
          <w:b/>
          <w:color w:val="767171" w:themeColor="background2" w:themeShade="80"/>
          <w:highlight w:val="yellow"/>
        </w:rPr>
        <w:t xml:space="preserve">formou tabulky podrobnou </w:t>
      </w:r>
      <w:r w:rsidRPr="00143FF4">
        <w:rPr>
          <w:b/>
          <w:color w:val="767171" w:themeColor="background2" w:themeShade="80"/>
          <w:highlight w:val="yellow"/>
        </w:rPr>
        <w:t xml:space="preserve">cenovou kalkulaci </w:t>
      </w:r>
      <w:r>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C3DD27B" w14:textId="5099C903" w:rsidR="00EA7623" w:rsidRDefault="00EA7623" w:rsidP="00AD5D0B">
      <w:pPr>
        <w:rPr>
          <w:b/>
          <w:color w:val="767171" w:themeColor="background2" w:themeShade="80"/>
        </w:rPr>
      </w:pPr>
    </w:p>
    <w:p w14:paraId="79C721B2" w14:textId="77777777" w:rsidR="00997744" w:rsidRPr="00E53A96" w:rsidRDefault="00997744" w:rsidP="00997744">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6764B40E" w14:textId="77777777" w:rsidR="00997744" w:rsidRPr="00A35CBF" w:rsidRDefault="00997744" w:rsidP="00997744">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3"/>
        <w:gridCol w:w="992"/>
        <w:gridCol w:w="1276"/>
        <w:gridCol w:w="1417"/>
        <w:gridCol w:w="709"/>
        <w:gridCol w:w="992"/>
        <w:gridCol w:w="1701"/>
      </w:tblGrid>
      <w:tr w:rsidR="000961B0" w:rsidRPr="00502FBB" w14:paraId="769AD95A" w14:textId="77777777" w:rsidTr="000961B0">
        <w:trPr>
          <w:trHeight w:val="568"/>
          <w:tblHeader/>
        </w:trPr>
        <w:tc>
          <w:tcPr>
            <w:tcW w:w="3403" w:type="dxa"/>
            <w:tcBorders>
              <w:bottom w:val="single" w:sz="4" w:space="0" w:color="auto"/>
            </w:tcBorders>
            <w:shd w:val="clear" w:color="auto" w:fill="FFF2CC" w:themeFill="accent4" w:themeFillTint="33"/>
            <w:vAlign w:val="center"/>
          </w:tcPr>
          <w:p w14:paraId="1D5C69CF" w14:textId="77777777" w:rsidR="000961B0" w:rsidRDefault="000961B0" w:rsidP="00C11EE1">
            <w:pPr>
              <w:spacing w:after="0" w:line="240" w:lineRule="auto"/>
              <w:jc w:val="center"/>
              <w:rPr>
                <w:rFonts w:cs="Tahoma"/>
                <w:b/>
                <w:bCs/>
              </w:rPr>
            </w:pPr>
            <w:r w:rsidRPr="00502FBB">
              <w:rPr>
                <w:rFonts w:cs="Tahoma"/>
                <w:b/>
                <w:bCs/>
              </w:rPr>
              <w:t>Položka</w:t>
            </w:r>
          </w:p>
          <w:p w14:paraId="7D53F32D" w14:textId="77777777" w:rsidR="000961B0" w:rsidRPr="00502FBB" w:rsidRDefault="000961B0" w:rsidP="00C11EE1">
            <w:pPr>
              <w:spacing w:after="0" w:line="240" w:lineRule="auto"/>
              <w:jc w:val="center"/>
              <w:rPr>
                <w:rFonts w:cs="Tahoma"/>
                <w:b/>
                <w:bCs/>
              </w:rPr>
            </w:pPr>
            <w:r>
              <w:rPr>
                <w:rFonts w:cs="Tahoma"/>
                <w:b/>
                <w:bCs/>
              </w:rPr>
              <w:t>(Produktové číslo)</w:t>
            </w:r>
          </w:p>
        </w:tc>
        <w:tc>
          <w:tcPr>
            <w:tcW w:w="992" w:type="dxa"/>
            <w:tcBorders>
              <w:bottom w:val="single" w:sz="4" w:space="0" w:color="auto"/>
            </w:tcBorders>
            <w:shd w:val="clear" w:color="auto" w:fill="FFF2CC" w:themeFill="accent4" w:themeFillTint="33"/>
            <w:vAlign w:val="center"/>
          </w:tcPr>
          <w:p w14:paraId="0A0A12C3" w14:textId="77777777" w:rsidR="000961B0" w:rsidRDefault="000961B0" w:rsidP="00C11EE1">
            <w:pPr>
              <w:spacing w:after="0" w:line="240" w:lineRule="auto"/>
              <w:jc w:val="center"/>
              <w:rPr>
                <w:rFonts w:cs="Tahoma"/>
                <w:b/>
                <w:bCs/>
              </w:rPr>
            </w:pPr>
            <w:r>
              <w:rPr>
                <w:rFonts w:cs="Tahoma"/>
                <w:b/>
                <w:bCs/>
              </w:rPr>
              <w:t xml:space="preserve">Počet </w:t>
            </w:r>
          </w:p>
          <w:p w14:paraId="0D5A0968" w14:textId="1FC7D39D" w:rsidR="000961B0" w:rsidRDefault="000961B0" w:rsidP="00C11EE1">
            <w:pPr>
              <w:spacing w:after="0" w:line="240" w:lineRule="auto"/>
              <w:jc w:val="center"/>
              <w:rPr>
                <w:rFonts w:cs="Tahoma"/>
                <w:b/>
                <w:bCs/>
              </w:rPr>
            </w:pPr>
            <w:r>
              <w:rPr>
                <w:rFonts w:cs="Tahoma"/>
                <w:b/>
                <w:bCs/>
              </w:rPr>
              <w:t>(ks)</w:t>
            </w:r>
          </w:p>
        </w:tc>
        <w:tc>
          <w:tcPr>
            <w:tcW w:w="1276" w:type="dxa"/>
            <w:tcBorders>
              <w:bottom w:val="single" w:sz="4" w:space="0" w:color="auto"/>
            </w:tcBorders>
            <w:shd w:val="clear" w:color="auto" w:fill="FFF2CC" w:themeFill="accent4" w:themeFillTint="33"/>
          </w:tcPr>
          <w:p w14:paraId="5227820B" w14:textId="77777777" w:rsidR="000961B0" w:rsidRPr="00EB2DF5" w:rsidRDefault="000961B0" w:rsidP="00C11EE1">
            <w:pPr>
              <w:spacing w:after="0" w:line="240" w:lineRule="auto"/>
              <w:jc w:val="center"/>
              <w:rPr>
                <w:rFonts w:cs="Tahoma"/>
                <w:b/>
                <w:bCs/>
              </w:rPr>
            </w:pPr>
            <w:r>
              <w:rPr>
                <w:rFonts w:cs="Tahoma"/>
                <w:b/>
                <w:bCs/>
              </w:rPr>
              <w:t>Cena v Kč bez DPH</w:t>
            </w:r>
          </w:p>
        </w:tc>
        <w:tc>
          <w:tcPr>
            <w:tcW w:w="1417" w:type="dxa"/>
            <w:tcBorders>
              <w:bottom w:val="single" w:sz="4" w:space="0" w:color="auto"/>
            </w:tcBorders>
            <w:shd w:val="clear" w:color="auto" w:fill="FFF2CC" w:themeFill="accent4" w:themeFillTint="33"/>
          </w:tcPr>
          <w:p w14:paraId="50B4C0BA" w14:textId="77777777" w:rsidR="000961B0" w:rsidRPr="00EB2DF5" w:rsidRDefault="000961B0" w:rsidP="00C11EE1">
            <w:pPr>
              <w:spacing w:after="0" w:line="240" w:lineRule="auto"/>
              <w:jc w:val="center"/>
              <w:rPr>
                <w:rFonts w:cs="Tahoma"/>
                <w:b/>
                <w:bCs/>
              </w:rPr>
            </w:pPr>
            <w:r w:rsidRPr="00EB2DF5">
              <w:rPr>
                <w:rFonts w:cs="Tahoma"/>
                <w:b/>
                <w:bCs/>
              </w:rPr>
              <w:t>Cena v Kč</w:t>
            </w:r>
          </w:p>
          <w:p w14:paraId="41528C84" w14:textId="77777777" w:rsidR="000961B0" w:rsidRDefault="000961B0" w:rsidP="00C11EE1">
            <w:pPr>
              <w:spacing w:after="0" w:line="240" w:lineRule="auto"/>
              <w:jc w:val="center"/>
              <w:rPr>
                <w:rFonts w:cs="Tahoma"/>
                <w:b/>
                <w:bCs/>
              </w:rPr>
            </w:pPr>
            <w:r w:rsidRPr="00EB2DF5">
              <w:rPr>
                <w:rFonts w:cs="Tahoma"/>
                <w:b/>
                <w:bCs/>
              </w:rPr>
              <w:t>bez DPH</w:t>
            </w:r>
          </w:p>
          <w:p w14:paraId="16E581D7" w14:textId="77777777" w:rsidR="000961B0" w:rsidRDefault="000961B0" w:rsidP="00C11EE1">
            <w:pPr>
              <w:spacing w:after="0" w:line="240" w:lineRule="auto"/>
              <w:jc w:val="center"/>
              <w:rPr>
                <w:rFonts w:cs="Tahoma"/>
                <w:b/>
                <w:bCs/>
              </w:rPr>
            </w:pPr>
            <w:r>
              <w:rPr>
                <w:rFonts w:cs="Tahoma"/>
                <w:b/>
                <w:bCs/>
              </w:rPr>
              <w:t>celkem</w:t>
            </w:r>
          </w:p>
        </w:tc>
        <w:tc>
          <w:tcPr>
            <w:tcW w:w="709" w:type="dxa"/>
            <w:tcBorders>
              <w:bottom w:val="single" w:sz="4" w:space="0" w:color="auto"/>
            </w:tcBorders>
            <w:shd w:val="clear" w:color="auto" w:fill="FFF2CC" w:themeFill="accent4" w:themeFillTint="33"/>
          </w:tcPr>
          <w:p w14:paraId="7DB2DF6E" w14:textId="77777777" w:rsidR="000961B0" w:rsidRPr="009E3F2B" w:rsidRDefault="000961B0" w:rsidP="00C11EE1">
            <w:pPr>
              <w:spacing w:after="0" w:line="240" w:lineRule="auto"/>
              <w:jc w:val="center"/>
              <w:rPr>
                <w:rFonts w:cs="Tahoma"/>
                <w:b/>
                <w:bCs/>
                <w:sz w:val="20"/>
                <w:szCs w:val="20"/>
              </w:rPr>
            </w:pPr>
            <w:r w:rsidRPr="009E3F2B">
              <w:rPr>
                <w:b/>
                <w:sz w:val="20"/>
                <w:szCs w:val="20"/>
              </w:rPr>
              <w:t>Sazba DPH v %</w:t>
            </w:r>
          </w:p>
        </w:tc>
        <w:tc>
          <w:tcPr>
            <w:tcW w:w="992" w:type="dxa"/>
            <w:tcBorders>
              <w:bottom w:val="single" w:sz="4" w:space="0" w:color="auto"/>
            </w:tcBorders>
            <w:shd w:val="clear" w:color="auto" w:fill="FFF2CC" w:themeFill="accent4" w:themeFillTint="33"/>
          </w:tcPr>
          <w:p w14:paraId="5232865B" w14:textId="77777777" w:rsidR="000961B0" w:rsidRPr="0013179B" w:rsidRDefault="000961B0" w:rsidP="00C11EE1">
            <w:pPr>
              <w:spacing w:after="0" w:line="240" w:lineRule="auto"/>
              <w:jc w:val="center"/>
              <w:rPr>
                <w:rFonts w:cs="Tahoma"/>
                <w:b/>
                <w:bCs/>
              </w:rPr>
            </w:pPr>
            <w:r w:rsidRPr="0013179B">
              <w:rPr>
                <w:b/>
              </w:rPr>
              <w:t>Výše DPH v Kč</w:t>
            </w:r>
          </w:p>
        </w:tc>
        <w:tc>
          <w:tcPr>
            <w:tcW w:w="1701" w:type="dxa"/>
            <w:tcBorders>
              <w:bottom w:val="single" w:sz="4" w:space="0" w:color="auto"/>
            </w:tcBorders>
            <w:shd w:val="clear" w:color="auto" w:fill="FFF2CC" w:themeFill="accent4" w:themeFillTint="33"/>
          </w:tcPr>
          <w:p w14:paraId="77593396" w14:textId="77777777" w:rsidR="000961B0" w:rsidRDefault="000961B0" w:rsidP="00C11EE1">
            <w:pPr>
              <w:spacing w:after="0" w:line="240" w:lineRule="auto"/>
              <w:jc w:val="center"/>
              <w:rPr>
                <w:b/>
              </w:rPr>
            </w:pPr>
            <w:r w:rsidRPr="0013179B">
              <w:rPr>
                <w:b/>
              </w:rPr>
              <w:t xml:space="preserve">Cena </w:t>
            </w:r>
            <w:r>
              <w:rPr>
                <w:b/>
              </w:rPr>
              <w:t xml:space="preserve">celkem </w:t>
            </w:r>
          </w:p>
          <w:p w14:paraId="341CFC3A" w14:textId="77777777" w:rsidR="000961B0" w:rsidRDefault="000961B0" w:rsidP="00C11EE1">
            <w:pPr>
              <w:spacing w:after="0" w:line="240" w:lineRule="auto"/>
              <w:jc w:val="center"/>
              <w:rPr>
                <w:b/>
              </w:rPr>
            </w:pPr>
            <w:r w:rsidRPr="0013179B">
              <w:rPr>
                <w:b/>
              </w:rPr>
              <w:t>v</w:t>
            </w:r>
            <w:r>
              <w:rPr>
                <w:b/>
              </w:rPr>
              <w:t> </w:t>
            </w:r>
            <w:r w:rsidRPr="0013179B">
              <w:rPr>
                <w:b/>
              </w:rPr>
              <w:t>Kč</w:t>
            </w:r>
          </w:p>
          <w:p w14:paraId="570504ED" w14:textId="77777777" w:rsidR="000961B0" w:rsidRPr="0013179B" w:rsidRDefault="000961B0" w:rsidP="00C11EE1">
            <w:pPr>
              <w:spacing w:after="0" w:line="240" w:lineRule="auto"/>
              <w:jc w:val="center"/>
              <w:rPr>
                <w:rFonts w:cs="Tahoma"/>
                <w:b/>
                <w:bCs/>
              </w:rPr>
            </w:pPr>
            <w:r>
              <w:rPr>
                <w:b/>
              </w:rPr>
              <w:t>včetně DPH</w:t>
            </w:r>
          </w:p>
        </w:tc>
      </w:tr>
      <w:tr w:rsidR="000961B0" w:rsidRPr="00502FBB" w14:paraId="1F106358" w14:textId="77777777" w:rsidTr="000961B0">
        <w:trPr>
          <w:trHeight w:val="397"/>
        </w:trPr>
        <w:tc>
          <w:tcPr>
            <w:tcW w:w="3403" w:type="dxa"/>
            <w:tcBorders>
              <w:top w:val="single" w:sz="4" w:space="0" w:color="auto"/>
              <w:left w:val="single" w:sz="4" w:space="0" w:color="auto"/>
              <w:right w:val="single" w:sz="4" w:space="0" w:color="auto"/>
            </w:tcBorders>
            <w:shd w:val="clear" w:color="auto" w:fill="auto"/>
            <w:vAlign w:val="center"/>
          </w:tcPr>
          <w:p w14:paraId="2D91490F" w14:textId="7B09575A" w:rsidR="000961B0" w:rsidRPr="00A641B3" w:rsidRDefault="000961B0" w:rsidP="00C11EE1">
            <w:pPr>
              <w:spacing w:after="0" w:line="240" w:lineRule="auto"/>
              <w:rPr>
                <w:rFonts w:cs="Calibri"/>
                <w:sz w:val="20"/>
                <w:szCs w:val="20"/>
                <w:highlight w:val="green"/>
              </w:rPr>
            </w:pPr>
            <w:bookmarkStart w:id="38" w:name="_Hlk97017334"/>
            <w:bookmarkStart w:id="39" w:name="_Hlk19014801"/>
            <w:r>
              <w:rPr>
                <w:highlight w:val="yellow"/>
              </w:rPr>
              <w:t>Fyzický server s licencí již provozovaného software pro virtualizaci a zálohování</w:t>
            </w:r>
          </w:p>
        </w:tc>
        <w:tc>
          <w:tcPr>
            <w:tcW w:w="992" w:type="dxa"/>
            <w:tcBorders>
              <w:top w:val="single" w:sz="4" w:space="0" w:color="auto"/>
              <w:left w:val="single" w:sz="4" w:space="0" w:color="auto"/>
              <w:right w:val="single" w:sz="4" w:space="0" w:color="auto"/>
            </w:tcBorders>
            <w:shd w:val="clear" w:color="auto" w:fill="auto"/>
            <w:vAlign w:val="center"/>
          </w:tcPr>
          <w:p w14:paraId="2A8CB93C" w14:textId="4EA76F80" w:rsidR="000961B0" w:rsidRPr="000961B0" w:rsidRDefault="000961B0" w:rsidP="00C11EE1">
            <w:pPr>
              <w:spacing w:after="0" w:line="240" w:lineRule="auto"/>
              <w:jc w:val="center"/>
              <w:rPr>
                <w:rFonts w:cs="Calibri"/>
                <w:b/>
                <w:bCs/>
              </w:rPr>
            </w:pPr>
            <w:r w:rsidRPr="000961B0">
              <w:rPr>
                <w:rFonts w:cs="Calibri"/>
                <w:b/>
                <w:bCs/>
              </w:rPr>
              <w:t>2</w:t>
            </w:r>
          </w:p>
        </w:tc>
        <w:tc>
          <w:tcPr>
            <w:tcW w:w="1276" w:type="dxa"/>
            <w:tcBorders>
              <w:top w:val="single" w:sz="4" w:space="0" w:color="auto"/>
              <w:left w:val="single" w:sz="4" w:space="0" w:color="auto"/>
              <w:right w:val="single" w:sz="4" w:space="0" w:color="auto"/>
            </w:tcBorders>
            <w:vAlign w:val="center"/>
          </w:tcPr>
          <w:p w14:paraId="73AAF70E" w14:textId="77777777" w:rsidR="000961B0" w:rsidRPr="00D82155" w:rsidRDefault="000961B0" w:rsidP="00C11EE1">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00D4C023" w14:textId="77777777" w:rsidR="000961B0" w:rsidRPr="00D82155" w:rsidRDefault="000961B0" w:rsidP="00C11EE1">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CDBAF7D" w14:textId="77777777" w:rsidR="000961B0" w:rsidRPr="00D82155" w:rsidRDefault="000961B0" w:rsidP="00C11EE1">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12E85822" w14:textId="77777777" w:rsidR="000961B0" w:rsidRPr="00D82155" w:rsidRDefault="000961B0" w:rsidP="00C11EE1">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689C9D2" w14:textId="77777777" w:rsidR="000961B0" w:rsidRPr="00D82155" w:rsidRDefault="000961B0" w:rsidP="00C11EE1">
            <w:pPr>
              <w:spacing w:after="0" w:line="240" w:lineRule="auto"/>
              <w:jc w:val="center"/>
              <w:rPr>
                <w:rFonts w:cs="Calibri"/>
                <w:highlight w:val="green"/>
              </w:rPr>
            </w:pPr>
            <w:r w:rsidRPr="00825881">
              <w:rPr>
                <w:rFonts w:cs="Calibri"/>
                <w:highlight w:val="yellow"/>
              </w:rPr>
              <w:t>???</w:t>
            </w:r>
          </w:p>
        </w:tc>
      </w:tr>
      <w:tr w:rsidR="000961B0" w:rsidRPr="00502FBB" w14:paraId="02AF54C0" w14:textId="77777777" w:rsidTr="000961B0">
        <w:trPr>
          <w:trHeight w:val="397"/>
        </w:trPr>
        <w:tc>
          <w:tcPr>
            <w:tcW w:w="3403" w:type="dxa"/>
            <w:tcBorders>
              <w:top w:val="single" w:sz="4" w:space="0" w:color="auto"/>
              <w:left w:val="single" w:sz="4" w:space="0" w:color="auto"/>
              <w:right w:val="single" w:sz="4" w:space="0" w:color="auto"/>
            </w:tcBorders>
            <w:shd w:val="clear" w:color="auto" w:fill="auto"/>
            <w:vAlign w:val="center"/>
          </w:tcPr>
          <w:p w14:paraId="52BFE9BB" w14:textId="407C0F9C" w:rsidR="000961B0" w:rsidRPr="00A641B3" w:rsidRDefault="000961B0" w:rsidP="00C11EE1">
            <w:pPr>
              <w:spacing w:after="0" w:line="240" w:lineRule="auto"/>
              <w:rPr>
                <w:rFonts w:cs="Calibri"/>
                <w:sz w:val="20"/>
                <w:szCs w:val="20"/>
                <w:highlight w:val="green"/>
              </w:rPr>
            </w:pPr>
            <w:r>
              <w:rPr>
                <w:highlight w:val="yellow"/>
              </w:rPr>
              <w:t>LCD monitory</w:t>
            </w:r>
          </w:p>
        </w:tc>
        <w:tc>
          <w:tcPr>
            <w:tcW w:w="992" w:type="dxa"/>
            <w:tcBorders>
              <w:top w:val="single" w:sz="4" w:space="0" w:color="auto"/>
              <w:left w:val="single" w:sz="4" w:space="0" w:color="auto"/>
              <w:right w:val="single" w:sz="4" w:space="0" w:color="auto"/>
            </w:tcBorders>
            <w:shd w:val="clear" w:color="auto" w:fill="auto"/>
            <w:vAlign w:val="center"/>
          </w:tcPr>
          <w:p w14:paraId="07E79C15" w14:textId="301B2E44" w:rsidR="000961B0" w:rsidRPr="00F3343C" w:rsidRDefault="000961B0" w:rsidP="000961B0">
            <w:pPr>
              <w:spacing w:after="0" w:line="240" w:lineRule="auto"/>
              <w:jc w:val="center"/>
              <w:rPr>
                <w:rFonts w:cs="Calibri"/>
                <w:b/>
                <w:bCs/>
              </w:rPr>
            </w:pPr>
            <w:r w:rsidRPr="00F3343C">
              <w:rPr>
                <w:rFonts w:cs="Calibri"/>
                <w:b/>
                <w:bCs/>
              </w:rPr>
              <w:t>525</w:t>
            </w:r>
          </w:p>
        </w:tc>
        <w:tc>
          <w:tcPr>
            <w:tcW w:w="1276" w:type="dxa"/>
            <w:tcBorders>
              <w:top w:val="single" w:sz="4" w:space="0" w:color="auto"/>
              <w:left w:val="single" w:sz="4" w:space="0" w:color="auto"/>
              <w:right w:val="single" w:sz="4" w:space="0" w:color="auto"/>
            </w:tcBorders>
            <w:vAlign w:val="center"/>
          </w:tcPr>
          <w:p w14:paraId="5B5B7931" w14:textId="77777777" w:rsidR="000961B0" w:rsidRPr="00D82155" w:rsidRDefault="000961B0" w:rsidP="00C11EE1">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5F45230B" w14:textId="77777777" w:rsidR="000961B0" w:rsidRPr="00D82155" w:rsidRDefault="000961B0" w:rsidP="00C11EE1">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A5E3974" w14:textId="77777777" w:rsidR="000961B0" w:rsidRPr="00D82155" w:rsidRDefault="000961B0" w:rsidP="00C11EE1">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0BCF1CE4" w14:textId="77777777" w:rsidR="000961B0" w:rsidRPr="00D82155" w:rsidRDefault="000961B0" w:rsidP="00C11EE1">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3941326" w14:textId="77777777" w:rsidR="000961B0" w:rsidRPr="00D82155" w:rsidRDefault="000961B0" w:rsidP="00C11EE1">
            <w:pPr>
              <w:spacing w:after="0" w:line="240" w:lineRule="auto"/>
              <w:jc w:val="center"/>
              <w:rPr>
                <w:rFonts w:cs="Calibri"/>
                <w:highlight w:val="green"/>
              </w:rPr>
            </w:pPr>
            <w:r w:rsidRPr="00825881">
              <w:rPr>
                <w:rFonts w:cs="Calibri"/>
                <w:highlight w:val="yellow"/>
              </w:rPr>
              <w:t>???</w:t>
            </w:r>
          </w:p>
        </w:tc>
      </w:tr>
      <w:bookmarkEnd w:id="38"/>
      <w:tr w:rsidR="00997744" w:rsidRPr="00502FBB" w14:paraId="2700FAFB" w14:textId="77777777" w:rsidTr="00C11EE1">
        <w:trPr>
          <w:trHeight w:val="398"/>
        </w:trPr>
        <w:tc>
          <w:tcPr>
            <w:tcW w:w="5671" w:type="dxa"/>
            <w:gridSpan w:val="3"/>
            <w:tcBorders>
              <w:left w:val="single" w:sz="4" w:space="0" w:color="auto"/>
              <w:right w:val="single" w:sz="12" w:space="0" w:color="auto"/>
            </w:tcBorders>
            <w:vAlign w:val="center"/>
          </w:tcPr>
          <w:p w14:paraId="1B530938" w14:textId="77777777" w:rsidR="00997744" w:rsidRPr="00D82155" w:rsidRDefault="00997744" w:rsidP="00C11EE1">
            <w:pPr>
              <w:spacing w:after="0" w:line="240" w:lineRule="auto"/>
              <w:jc w:val="center"/>
              <w:rPr>
                <w:rFonts w:cs="Calibri"/>
                <w:b/>
                <w:highlight w:val="green"/>
              </w:rPr>
            </w:pPr>
            <w:r w:rsidRPr="00A641B3">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5B95570D" w14:textId="77777777" w:rsidR="00997744" w:rsidRPr="00A641B3" w:rsidRDefault="00997744" w:rsidP="00C11EE1">
            <w:pPr>
              <w:spacing w:after="0" w:line="240" w:lineRule="auto"/>
              <w:jc w:val="center"/>
              <w:rPr>
                <w:rFonts w:cs="Calibri"/>
                <w:highlight w:val="yellow"/>
              </w:rPr>
            </w:pPr>
            <w:r w:rsidRPr="00A641B3">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0B3976ED" w14:textId="77777777" w:rsidR="00997744" w:rsidRPr="00A641B3" w:rsidRDefault="00997744" w:rsidP="00C11EE1">
            <w:pPr>
              <w:spacing w:after="0" w:line="240" w:lineRule="auto"/>
              <w:jc w:val="center"/>
              <w:rPr>
                <w:rFonts w:cs="Calibri"/>
                <w:highlight w:val="yellow"/>
              </w:rPr>
            </w:pPr>
          </w:p>
        </w:tc>
        <w:tc>
          <w:tcPr>
            <w:tcW w:w="992" w:type="dxa"/>
            <w:tcBorders>
              <w:top w:val="single" w:sz="12" w:space="0" w:color="auto"/>
              <w:left w:val="single" w:sz="12" w:space="0" w:color="auto"/>
              <w:bottom w:val="single" w:sz="12" w:space="0" w:color="auto"/>
              <w:right w:val="single" w:sz="12" w:space="0" w:color="auto"/>
            </w:tcBorders>
            <w:vAlign w:val="center"/>
          </w:tcPr>
          <w:p w14:paraId="36941679" w14:textId="77777777" w:rsidR="00997744" w:rsidRPr="00A641B3" w:rsidRDefault="00997744" w:rsidP="00C11EE1">
            <w:pPr>
              <w:spacing w:after="0" w:line="240" w:lineRule="auto"/>
              <w:jc w:val="center"/>
              <w:rPr>
                <w:rFonts w:cs="Calibri"/>
                <w:highlight w:val="yellow"/>
              </w:rPr>
            </w:pPr>
            <w:r w:rsidRPr="00A641B3">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6A2EF885" w14:textId="77777777" w:rsidR="00997744" w:rsidRPr="00A641B3" w:rsidRDefault="00997744" w:rsidP="00C11EE1">
            <w:pPr>
              <w:spacing w:after="0" w:line="240" w:lineRule="auto"/>
              <w:jc w:val="center"/>
              <w:rPr>
                <w:rFonts w:cs="Calibri"/>
                <w:highlight w:val="yellow"/>
              </w:rPr>
            </w:pPr>
            <w:r w:rsidRPr="00A641B3">
              <w:rPr>
                <w:rFonts w:cs="Calibri"/>
                <w:highlight w:val="yellow"/>
              </w:rPr>
              <w:t>???</w:t>
            </w:r>
          </w:p>
        </w:tc>
      </w:tr>
      <w:bookmarkEnd w:id="39"/>
    </w:tbl>
    <w:p w14:paraId="6BA941E7" w14:textId="77777777" w:rsidR="00997744" w:rsidRDefault="00997744" w:rsidP="00997744">
      <w:pPr>
        <w:spacing w:after="0" w:line="240" w:lineRule="auto"/>
        <w:jc w:val="both"/>
        <w:rPr>
          <w:rFonts w:eastAsia="Times New Roman"/>
          <w:lang w:eastAsia="ar-SA"/>
        </w:rPr>
      </w:pPr>
    </w:p>
    <w:p w14:paraId="57522923" w14:textId="77777777" w:rsidR="00997744" w:rsidRPr="007B070D" w:rsidRDefault="00997744" w:rsidP="00997744">
      <w:pPr>
        <w:rPr>
          <w:b/>
          <w:color w:val="767171" w:themeColor="background2" w:themeShade="80"/>
        </w:rPr>
      </w:pPr>
      <w:r w:rsidRPr="007B070D">
        <w:rPr>
          <w:b/>
          <w:color w:val="767171" w:themeColor="background2" w:themeShade="80"/>
          <w:highlight w:val="yellow"/>
        </w:rPr>
        <w:t xml:space="preserve">Žlutě vyznačené vyplňuje </w:t>
      </w:r>
      <w:proofErr w:type="gramStart"/>
      <w:r w:rsidRPr="007B070D">
        <w:rPr>
          <w:b/>
          <w:color w:val="767171" w:themeColor="background2" w:themeShade="80"/>
          <w:highlight w:val="yellow"/>
        </w:rPr>
        <w:t>Prodávající :</w:t>
      </w:r>
      <w:proofErr w:type="gramEnd"/>
    </w:p>
    <w:p w14:paraId="36C16ACE" w14:textId="77777777" w:rsidR="00997744" w:rsidRDefault="00997744"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771422CC" w14:textId="77777777" w:rsidR="002C5802" w:rsidRDefault="002C5802" w:rsidP="002B4DF5">
      <w:pPr>
        <w:spacing w:after="0"/>
        <w:rPr>
          <w:rFonts w:cs="Arial"/>
          <w:b/>
          <w:bCs/>
        </w:rPr>
      </w:pPr>
    </w:p>
    <w:p w14:paraId="5A87E1F8" w14:textId="4FC639A5" w:rsidR="002B4DF5" w:rsidRDefault="00923C21" w:rsidP="002B4DF5">
      <w:pPr>
        <w:spacing w:after="0"/>
        <w:rPr>
          <w:rFonts w:cs="Arial"/>
          <w:b/>
          <w:bCs/>
        </w:rPr>
      </w:pPr>
      <w:r>
        <w:rPr>
          <w:rFonts w:cs="Arial"/>
          <w:b/>
          <w:bCs/>
        </w:rPr>
        <w:t>Kupující</w:t>
      </w:r>
      <w:r w:rsidR="00DD150F">
        <w:rPr>
          <w:rFonts w:cs="Arial"/>
          <w:b/>
          <w:bCs/>
        </w:rPr>
        <w:t xml:space="preserve"> / servery</w:t>
      </w:r>
      <w:r w:rsidR="002B4DF5">
        <w:rPr>
          <w:rFonts w:cs="Arial"/>
          <w:b/>
          <w:bCs/>
        </w:rPr>
        <w:t>:</w:t>
      </w:r>
      <w:r w:rsidR="00DD150F">
        <w:rPr>
          <w:rFonts w:cs="Arial"/>
          <w:b/>
          <w:bCs/>
        </w:rPr>
        <w:t xml:space="preserve"> </w:t>
      </w:r>
    </w:p>
    <w:p w14:paraId="2DC227B0" w14:textId="61F55B64" w:rsidR="00F90E81" w:rsidRPr="00BB16D8" w:rsidRDefault="00F90E81" w:rsidP="00F90E81">
      <w:pPr>
        <w:spacing w:after="0" w:line="240" w:lineRule="auto"/>
        <w:ind w:firstLine="708"/>
        <w:rPr>
          <w:rFonts w:cs="Arial"/>
          <w:bCs/>
        </w:rPr>
      </w:pPr>
      <w:r w:rsidRPr="00BB16D8">
        <w:rPr>
          <w:rFonts w:cs="Arial"/>
          <w:bCs/>
        </w:rPr>
        <w:t>Jméno:</w:t>
      </w:r>
      <w:r w:rsidRPr="00BB16D8">
        <w:rPr>
          <w:rFonts w:cs="Arial"/>
          <w:bCs/>
        </w:rPr>
        <w:tab/>
      </w:r>
      <w:r w:rsidRPr="00BB16D8">
        <w:rPr>
          <w:rFonts w:cs="Arial"/>
          <w:bCs/>
        </w:rPr>
        <w:tab/>
      </w:r>
      <w:r w:rsidRPr="00BB16D8">
        <w:rPr>
          <w:rFonts w:cs="Arial"/>
          <w:bCs/>
        </w:rPr>
        <w:tab/>
      </w:r>
      <w:r w:rsidR="009556A2" w:rsidRPr="00BB16D8">
        <w:rPr>
          <w:rFonts w:cs="Arial"/>
          <w:bCs/>
        </w:rPr>
        <w:t>Roman Polansk</w:t>
      </w:r>
      <w:r w:rsidR="00BB16D8" w:rsidRPr="00BB16D8">
        <w:rPr>
          <w:rFonts w:cs="Arial"/>
          <w:bCs/>
        </w:rPr>
        <w:t>ý</w:t>
      </w:r>
    </w:p>
    <w:p w14:paraId="0C7947EF" w14:textId="4C23637C" w:rsidR="00F90E81" w:rsidRPr="00BB16D8" w:rsidRDefault="00F90E81" w:rsidP="00F90E81">
      <w:pPr>
        <w:spacing w:after="0" w:line="240" w:lineRule="auto"/>
        <w:rPr>
          <w:rFonts w:cs="Arial"/>
          <w:bCs/>
        </w:rPr>
      </w:pPr>
      <w:r w:rsidRPr="00BB16D8">
        <w:rPr>
          <w:rFonts w:cs="Arial"/>
          <w:bCs/>
        </w:rPr>
        <w:tab/>
        <w:t>Pracovní zařazení:</w:t>
      </w:r>
      <w:r w:rsidRPr="00BB16D8">
        <w:rPr>
          <w:rFonts w:cs="Arial"/>
          <w:bCs/>
        </w:rPr>
        <w:tab/>
      </w:r>
      <w:r w:rsidR="00BB16D8" w:rsidRPr="00BB16D8">
        <w:rPr>
          <w:rFonts w:cs="Arial"/>
          <w:bCs/>
        </w:rPr>
        <w:t>Správce datových center NEMPK</w:t>
      </w:r>
    </w:p>
    <w:p w14:paraId="23C949C2" w14:textId="0B4BAB43" w:rsidR="00F90E81" w:rsidRPr="00BB16D8" w:rsidRDefault="00F90E81" w:rsidP="00F90E81">
      <w:pPr>
        <w:spacing w:after="0" w:line="240" w:lineRule="auto"/>
        <w:rPr>
          <w:rFonts w:cs="Arial"/>
          <w:bCs/>
        </w:rPr>
      </w:pPr>
      <w:r w:rsidRPr="00BB16D8">
        <w:rPr>
          <w:rFonts w:cs="Arial"/>
          <w:bCs/>
        </w:rPr>
        <w:tab/>
        <w:t>tel.:</w:t>
      </w:r>
      <w:r w:rsidRPr="00BB16D8">
        <w:rPr>
          <w:rFonts w:cs="Arial"/>
          <w:bCs/>
        </w:rPr>
        <w:tab/>
      </w:r>
      <w:r w:rsidRPr="00BB16D8">
        <w:rPr>
          <w:rFonts w:cs="Arial"/>
          <w:bCs/>
        </w:rPr>
        <w:tab/>
      </w:r>
      <w:r w:rsidRPr="00BB16D8">
        <w:rPr>
          <w:rFonts w:cs="Arial"/>
          <w:bCs/>
        </w:rPr>
        <w:tab/>
      </w:r>
      <w:r w:rsidR="00BB16D8" w:rsidRPr="00BB16D8">
        <w:rPr>
          <w:rFonts w:cs="Arial"/>
          <w:bCs/>
        </w:rPr>
        <w:t>+420 725 571 356</w:t>
      </w:r>
    </w:p>
    <w:p w14:paraId="7C1F5836" w14:textId="607644E4" w:rsidR="00F90E81" w:rsidRPr="00BB16D8" w:rsidRDefault="00F90E81" w:rsidP="00F90E81">
      <w:pPr>
        <w:spacing w:after="0" w:line="240" w:lineRule="auto"/>
        <w:rPr>
          <w:rStyle w:val="Hypertextovodkaz"/>
        </w:rPr>
      </w:pPr>
      <w:r w:rsidRPr="00BB16D8">
        <w:rPr>
          <w:rFonts w:cs="Arial"/>
          <w:bCs/>
        </w:rPr>
        <w:tab/>
        <w:t>email:</w:t>
      </w:r>
      <w:r w:rsidRPr="00BB16D8">
        <w:rPr>
          <w:rFonts w:cs="Arial"/>
          <w:bCs/>
        </w:rPr>
        <w:tab/>
      </w:r>
      <w:r w:rsidRPr="00BB16D8">
        <w:rPr>
          <w:rFonts w:cs="Arial"/>
          <w:bCs/>
        </w:rPr>
        <w:tab/>
      </w:r>
      <w:r w:rsidRPr="00BB16D8">
        <w:rPr>
          <w:rFonts w:cs="Arial"/>
          <w:bCs/>
        </w:rPr>
        <w:tab/>
      </w:r>
      <w:r w:rsidR="00BB16D8" w:rsidRPr="00BB16D8">
        <w:rPr>
          <w:rFonts w:cs="Arial"/>
          <w:bCs/>
        </w:rPr>
        <w:t>roman.polansky@nempk.cz</w:t>
      </w:r>
    </w:p>
    <w:p w14:paraId="59880D6C" w14:textId="77777777" w:rsidR="00F90E81" w:rsidRPr="00BB16D8" w:rsidRDefault="00F90E81" w:rsidP="00F90E81">
      <w:pPr>
        <w:spacing w:after="0" w:line="240" w:lineRule="auto"/>
        <w:ind w:firstLine="708"/>
        <w:rPr>
          <w:rFonts w:cs="Arial"/>
          <w:bCs/>
        </w:rPr>
      </w:pPr>
    </w:p>
    <w:p w14:paraId="5377C12C" w14:textId="77777777" w:rsidR="00F90E81" w:rsidRPr="00F90E81" w:rsidRDefault="00F90E81" w:rsidP="00F90E81">
      <w:pPr>
        <w:spacing w:after="0" w:line="240" w:lineRule="auto"/>
        <w:ind w:firstLine="708"/>
        <w:rPr>
          <w:rFonts w:cs="Arial"/>
          <w:bCs/>
          <w:highlight w:val="cyan"/>
        </w:rPr>
      </w:pPr>
    </w:p>
    <w:p w14:paraId="49B34B8B" w14:textId="6BBC006E" w:rsidR="00DD150F" w:rsidRDefault="00DD150F" w:rsidP="00DD150F">
      <w:pPr>
        <w:spacing w:after="0"/>
        <w:rPr>
          <w:rFonts w:cs="Arial"/>
          <w:b/>
          <w:bCs/>
        </w:rPr>
      </w:pPr>
      <w:r>
        <w:rPr>
          <w:rFonts w:cs="Arial"/>
          <w:b/>
          <w:bCs/>
        </w:rPr>
        <w:t xml:space="preserve">Kupující / LCD monitory: </w:t>
      </w:r>
    </w:p>
    <w:p w14:paraId="4903FE1B" w14:textId="35CB9140" w:rsidR="00F90E81" w:rsidRPr="007B17CC" w:rsidRDefault="00F90E81" w:rsidP="00F90E81">
      <w:pPr>
        <w:spacing w:after="0" w:line="240" w:lineRule="auto"/>
        <w:ind w:firstLine="708"/>
        <w:rPr>
          <w:rFonts w:cs="Arial"/>
          <w:bCs/>
        </w:rPr>
      </w:pPr>
      <w:r w:rsidRPr="007B17CC">
        <w:rPr>
          <w:rFonts w:cs="Arial"/>
          <w:bCs/>
        </w:rPr>
        <w:t>Jméno:</w:t>
      </w:r>
      <w:r w:rsidRPr="007B17CC">
        <w:rPr>
          <w:rFonts w:cs="Arial"/>
          <w:bCs/>
        </w:rPr>
        <w:tab/>
      </w:r>
      <w:r w:rsidR="002C50EB" w:rsidRPr="007B17CC">
        <w:rPr>
          <w:rFonts w:cs="Arial"/>
          <w:bCs/>
        </w:rPr>
        <w:tab/>
      </w:r>
      <w:r w:rsidR="002C50EB" w:rsidRPr="007B17CC">
        <w:rPr>
          <w:rFonts w:cs="Arial"/>
          <w:bCs/>
        </w:rPr>
        <w:tab/>
        <w:t>Roman Křivka</w:t>
      </w:r>
      <w:r w:rsidRPr="007B17CC">
        <w:rPr>
          <w:rFonts w:cs="Arial"/>
          <w:bCs/>
        </w:rPr>
        <w:tab/>
      </w:r>
      <w:r w:rsidRPr="007B17CC">
        <w:rPr>
          <w:rFonts w:cs="Arial"/>
          <w:bCs/>
        </w:rPr>
        <w:tab/>
      </w:r>
    </w:p>
    <w:p w14:paraId="39381B8A" w14:textId="161E27AF" w:rsidR="00F90E81" w:rsidRPr="007B17CC" w:rsidRDefault="00F90E81" w:rsidP="00F90E81">
      <w:pPr>
        <w:spacing w:after="0" w:line="240" w:lineRule="auto"/>
        <w:ind w:firstLine="708"/>
        <w:rPr>
          <w:rFonts w:cs="Arial"/>
          <w:bCs/>
        </w:rPr>
      </w:pPr>
      <w:r w:rsidRPr="007B17CC">
        <w:rPr>
          <w:rFonts w:cs="Arial"/>
          <w:bCs/>
        </w:rPr>
        <w:t>Pracovní zařazení:</w:t>
      </w:r>
      <w:r w:rsidRPr="007B17CC">
        <w:rPr>
          <w:rFonts w:cs="Arial"/>
          <w:bCs/>
        </w:rPr>
        <w:tab/>
      </w:r>
      <w:r w:rsidR="002C50EB" w:rsidRPr="007B17CC">
        <w:rPr>
          <w:rFonts w:cs="Arial"/>
          <w:bCs/>
        </w:rPr>
        <w:t>Vedoucí IT služeb</w:t>
      </w:r>
    </w:p>
    <w:p w14:paraId="38854CC8" w14:textId="78CF7919" w:rsidR="00F90E81" w:rsidRPr="007B17CC" w:rsidRDefault="00F90E81" w:rsidP="00F90E81">
      <w:pPr>
        <w:spacing w:after="0" w:line="240" w:lineRule="auto"/>
        <w:rPr>
          <w:rFonts w:cs="Arial"/>
          <w:bCs/>
        </w:rPr>
      </w:pPr>
      <w:r w:rsidRPr="007B17CC">
        <w:rPr>
          <w:rFonts w:cs="Arial"/>
          <w:bCs/>
        </w:rPr>
        <w:tab/>
        <w:t>tel.:</w:t>
      </w:r>
      <w:r w:rsidRPr="007B17CC">
        <w:rPr>
          <w:rFonts w:cs="Arial"/>
          <w:bCs/>
        </w:rPr>
        <w:tab/>
      </w:r>
      <w:r w:rsidRPr="007B17CC">
        <w:rPr>
          <w:rFonts w:cs="Arial"/>
          <w:bCs/>
        </w:rPr>
        <w:tab/>
      </w:r>
      <w:r w:rsidRPr="007B17CC">
        <w:rPr>
          <w:rFonts w:cs="Arial"/>
          <w:bCs/>
        </w:rPr>
        <w:tab/>
      </w:r>
      <w:r w:rsidR="007029E9" w:rsidRPr="007B17CC">
        <w:rPr>
          <w:rFonts w:cs="Arial"/>
          <w:bCs/>
        </w:rPr>
        <w:t>+420 725 626 536</w:t>
      </w:r>
    </w:p>
    <w:p w14:paraId="6CDF71B7" w14:textId="6A74B547" w:rsidR="00F90E81" w:rsidRPr="007B17CC" w:rsidRDefault="00F90E81" w:rsidP="00F90E81">
      <w:pPr>
        <w:spacing w:after="0" w:line="240" w:lineRule="auto"/>
        <w:rPr>
          <w:rFonts w:cs="Arial"/>
          <w:bCs/>
        </w:rPr>
      </w:pPr>
      <w:r w:rsidRPr="007B17CC">
        <w:rPr>
          <w:rFonts w:cs="Arial"/>
          <w:bCs/>
        </w:rPr>
        <w:tab/>
        <w:t>email:</w:t>
      </w:r>
      <w:r w:rsidRPr="007B17CC">
        <w:rPr>
          <w:rFonts w:cs="Arial"/>
          <w:bCs/>
        </w:rPr>
        <w:tab/>
      </w:r>
      <w:r w:rsidRPr="007B17CC">
        <w:rPr>
          <w:rFonts w:cs="Arial"/>
          <w:bCs/>
        </w:rPr>
        <w:tab/>
      </w:r>
      <w:r w:rsidRPr="007B17CC">
        <w:rPr>
          <w:rFonts w:cs="Arial"/>
          <w:bCs/>
        </w:rPr>
        <w:tab/>
      </w:r>
      <w:r w:rsidR="00545A00" w:rsidRPr="007B17CC">
        <w:rPr>
          <w:rFonts w:cs="Arial"/>
          <w:bCs/>
        </w:rPr>
        <w:t>roman.krivka@nempk.cz</w:t>
      </w: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77777777"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Pr>
          <w:rFonts w:asciiTheme="minorHAnsi" w:hAnsiTheme="minorHAnsi"/>
          <w:color w:val="auto"/>
          <w:szCs w:val="22"/>
        </w:rPr>
        <w:t xml:space="preserve">7 -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w:t>
      </w:r>
      <w:proofErr w:type="spellStart"/>
      <w:r w:rsidRPr="00E716D6">
        <w:rPr>
          <w:b/>
        </w:rPr>
        <w:t>ZoKB</w:t>
      </w:r>
      <w:proofErr w:type="spellEnd"/>
      <w:r w:rsidRPr="00E716D6">
        <w:rPr>
          <w:b/>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40" w:name="_Toc532824897"/>
    </w:p>
    <w:p w14:paraId="37709C07" w14:textId="1595ABD2" w:rsidR="00F90E81" w:rsidRPr="00725872" w:rsidRDefault="00F90E81" w:rsidP="00862216">
      <w:pPr>
        <w:pStyle w:val="ZD2nadpis"/>
        <w:numPr>
          <w:ilvl w:val="0"/>
          <w:numId w:val="35"/>
        </w:numPr>
        <w:ind w:left="426"/>
      </w:pPr>
      <w:r w:rsidRPr="00725872">
        <w:t>Účel</w:t>
      </w:r>
      <w:bookmarkEnd w:id="40"/>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 xml:space="preserve">a určuje vzájemný vztah odpovědnosti za zavedení a kontrolu bezpečnostních opatření mezi Objednatelem a Zhotovitelem. Požadavky na Zhotovitele jsou definovány dle platné právní úpravy, především pak dle </w:t>
      </w:r>
      <w:proofErr w:type="spellStart"/>
      <w:r>
        <w:t>ZoKB</w:t>
      </w:r>
      <w:proofErr w:type="spellEnd"/>
      <w:r>
        <w:t>,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41" w:name="_Toc532824898"/>
    </w:p>
    <w:bookmarkEnd w:id="41"/>
    <w:p w14:paraId="1C91F78C" w14:textId="77777777" w:rsidR="00F90E81" w:rsidRPr="00E716D6" w:rsidRDefault="00F90E81" w:rsidP="00862216">
      <w:pPr>
        <w:pStyle w:val="ZD2nadpis"/>
        <w:numPr>
          <w:ilvl w:val="0"/>
          <w:numId w:val="35"/>
        </w:numPr>
        <w:ind w:left="426"/>
      </w:pPr>
      <w:r w:rsidRPr="00E716D6">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w:t>
      </w:r>
      <w:r w:rsidRPr="00181C2A">
        <w:rPr>
          <w:rFonts w:cs="Tahoma"/>
          <w:sz w:val="22"/>
          <w:szCs w:val="22"/>
        </w:rPr>
        <w:lastRenderedPageBreak/>
        <w:t>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w:t>
      </w:r>
      <w:proofErr w:type="spellStart"/>
      <w:r w:rsidRPr="00A222CC">
        <w:rPr>
          <w:rFonts w:cs="Tahoma"/>
          <w:sz w:val="22"/>
          <w:szCs w:val="22"/>
        </w:rPr>
        <w:t>need</w:t>
      </w:r>
      <w:proofErr w:type="spellEnd"/>
      <w:r w:rsidRPr="00A222CC">
        <w:rPr>
          <w:rFonts w:cs="Tahoma"/>
          <w:sz w:val="22"/>
          <w:szCs w:val="22"/>
        </w:rPr>
        <w:t>-to-</w:t>
      </w:r>
      <w:proofErr w:type="spellStart"/>
      <w:r w:rsidRPr="00A222CC">
        <w:rPr>
          <w:rFonts w:cs="Tahoma"/>
          <w:sz w:val="22"/>
          <w:szCs w:val="22"/>
        </w:rPr>
        <w:t>know</w:t>
      </w:r>
      <w:proofErr w:type="spellEnd"/>
      <w:r w:rsidRPr="00A222CC">
        <w:rPr>
          <w:rFonts w:cs="Tahoma"/>
          <w:sz w:val="22"/>
          <w:szCs w:val="22"/>
        </w:rPr>
        <w:t xml:space="preserve"> </w:t>
      </w:r>
      <w:proofErr w:type="spellStart"/>
      <w:r w:rsidRPr="00A222CC">
        <w:rPr>
          <w:rFonts w:cs="Tahoma"/>
          <w:sz w:val="22"/>
          <w:szCs w:val="22"/>
        </w:rPr>
        <w:t>principle</w:t>
      </w:r>
      <w:proofErr w:type="spellEnd"/>
      <w:r w:rsidRPr="00A222CC">
        <w:rPr>
          <w:rFonts w:cs="Tahoma"/>
          <w:sz w:val="22"/>
          <w:szCs w:val="22"/>
        </w:rPr>
        <w:t>),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42" w:name="_Toc532824900"/>
      <w:r w:rsidRPr="00E716D6">
        <w:t>Oprávnění užívat data</w:t>
      </w:r>
      <w:bookmarkEnd w:id="42"/>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77777777" w:rsidR="00F90E81" w:rsidRPr="00E716D6" w:rsidRDefault="00F90E81" w:rsidP="00862216">
      <w:pPr>
        <w:pStyle w:val="ZD2nadpis"/>
        <w:numPr>
          <w:ilvl w:val="0"/>
          <w:numId w:val="35"/>
        </w:numPr>
        <w:ind w:left="426"/>
      </w:pPr>
      <w:bookmarkStart w:id="43" w:name="_Toc532824901"/>
      <w:r w:rsidRPr="00E716D6">
        <w:t>3. Autorství</w:t>
      </w:r>
      <w:bookmarkEnd w:id="43"/>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41B52517" w14:textId="77777777" w:rsidR="00F90E81" w:rsidRPr="001823E1" w:rsidRDefault="00F90E81" w:rsidP="00F90E81">
      <w:pPr>
        <w:spacing w:after="0" w:line="240" w:lineRule="auto"/>
        <w:jc w:val="both"/>
        <w:rPr>
          <w:rFonts w:eastAsia="Lucida Sans Unicode" w:cs="Times New Roman"/>
        </w:rPr>
      </w:pP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44" w:name="_Toc532824902"/>
      <w:r w:rsidRPr="00E716D6">
        <w:t>Kontrola a audit souladu s požadavky bezpečnosti</w:t>
      </w:r>
      <w:bookmarkEnd w:id="44"/>
    </w:p>
    <w:p w14:paraId="5385B8B0" w14:textId="77777777" w:rsidR="00F90E81" w:rsidRPr="00920D5C" w:rsidRDefault="00F90E81" w:rsidP="00F90E81">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4C0B246F" w14:textId="77777777" w:rsidR="00F90E81" w:rsidRPr="00920D5C" w:rsidRDefault="00F90E81" w:rsidP="00F90E81">
      <w:pPr>
        <w:spacing w:after="0" w:line="240" w:lineRule="auto"/>
        <w:jc w:val="both"/>
        <w:rPr>
          <w:rFonts w:eastAsia="Lucida Sans Unicode" w:cs="Times New Roman"/>
        </w:rPr>
      </w:pP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45" w:name="_Toc532824903"/>
      <w:r w:rsidRPr="00E716D6">
        <w:t>Řetězení a řízení dodavatelů</w:t>
      </w:r>
      <w:bookmarkEnd w:id="45"/>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lastRenderedPageBreak/>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46" w:name="_Toc532824904"/>
      <w:r w:rsidRPr="00E716D6">
        <w:t>Řízení změn</w:t>
      </w:r>
      <w:bookmarkEnd w:id="46"/>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47" w:name="_Toc532824905"/>
      <w:r w:rsidRPr="00E716D6">
        <w:t>Zvládání bezpečnostních incidentů</w:t>
      </w:r>
      <w:bookmarkEnd w:id="47"/>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48" w:name="_Toc532824906"/>
      <w:r w:rsidRPr="00E716D6">
        <w:t>Informační povinnost a povinnosti při výměně informací</w:t>
      </w:r>
      <w:bookmarkEnd w:id="48"/>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49" w:name="_Toc532824907"/>
      <w:r w:rsidRPr="00E716D6">
        <w:t>Povinnosti při ukončení Smlouvy</w:t>
      </w:r>
      <w:bookmarkEnd w:id="49"/>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50" w:name="_Toc532824908"/>
      <w:r w:rsidRPr="00E716D6">
        <w:t>Specifikace podmínek pro řízení kontinuity činností a zálohování a obnovu dat</w:t>
      </w:r>
      <w:bookmarkEnd w:id="50"/>
    </w:p>
    <w:p w14:paraId="73966371"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 xml:space="preserve">Zhotovitel se zavazuje dodržovat požadavky Objednatele na řízení kontinuity činností. </w:t>
      </w:r>
    </w:p>
    <w:p w14:paraId="6B71D2D8" w14:textId="77777777" w:rsidR="00F90E81" w:rsidRPr="00315D2D" w:rsidRDefault="00F90E81" w:rsidP="00F90E81">
      <w:pPr>
        <w:pStyle w:val="Odstavecseseznamem"/>
        <w:keepNext/>
        <w:spacing w:after="0" w:line="240" w:lineRule="auto"/>
        <w:ind w:left="360"/>
        <w:rPr>
          <w:rFonts w:eastAsia="Lucida Sans Unicode" w:cs="Times New Roman"/>
        </w:rPr>
      </w:pPr>
      <w:r w:rsidRPr="00315D2D">
        <w:rPr>
          <w:rFonts w:eastAsia="Lucida Sans Unicode" w:cs="Times New Roman"/>
        </w:rPr>
        <w:t>Zhotovitel vypracuje návrh plánu kontinuity činností sjednaných s objednatelem k zajištění služeb poskytovaných v rámci předmětu smlouvy. Zhotovitel se zavazuje poskytnout součinnost při návrhu metodik pro zálohování a obnovu dat.</w:t>
      </w:r>
    </w:p>
    <w:p w14:paraId="08B29EC9" w14:textId="77777777" w:rsidR="00F90E81" w:rsidRPr="00920D5C" w:rsidRDefault="00F90E81" w:rsidP="00F90E81"/>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51" w:name="_Toc532824909"/>
      <w:r w:rsidRPr="00E716D6">
        <w:t>Bezpečnost lidských zdrojů</w:t>
      </w:r>
      <w:bookmarkEnd w:id="51"/>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52" w:name="_Toc532824910"/>
      <w:r w:rsidRPr="00E716D6">
        <w:t xml:space="preserve">Požadavky na </w:t>
      </w:r>
      <w:bookmarkStart w:id="53" w:name="_Toc414525016"/>
      <w:r w:rsidRPr="00E716D6">
        <w:t>systémovou a provozní bezpečnostní dokumentaci</w:t>
      </w:r>
      <w:bookmarkEnd w:id="52"/>
      <w:bookmarkEnd w:id="53"/>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54" w:name="_Toc414525018"/>
      <w:bookmarkStart w:id="55" w:name="_Toc532824911"/>
      <w:r w:rsidRPr="00E716D6">
        <w:t>Fyzická ochrana a bezpečnost prostředí</w:t>
      </w:r>
      <w:bookmarkEnd w:id="54"/>
      <w:bookmarkEnd w:id="55"/>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56" w:name="_Toc414525019"/>
      <w:bookmarkStart w:id="57" w:name="_Toc532824912"/>
      <w:r w:rsidRPr="00E716D6">
        <w:t>Požadavky na Řízení přístupu</w:t>
      </w:r>
      <w:bookmarkEnd w:id="56"/>
      <w:bookmarkEnd w:id="57"/>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w:t>
      </w:r>
      <w:proofErr w:type="spellStart"/>
      <w:r w:rsidRPr="00181C2A">
        <w:rPr>
          <w:rFonts w:cs="Tahoma"/>
          <w:sz w:val="22"/>
          <w:szCs w:val="22"/>
        </w:rPr>
        <w:t>need</w:t>
      </w:r>
      <w:proofErr w:type="spellEnd"/>
      <w:r w:rsidRPr="00181C2A">
        <w:rPr>
          <w:rFonts w:cs="Tahoma"/>
          <w:sz w:val="22"/>
          <w:szCs w:val="22"/>
        </w:rPr>
        <w:t>-to-</w:t>
      </w:r>
      <w:proofErr w:type="spellStart"/>
      <w:r w:rsidRPr="00181C2A">
        <w:rPr>
          <w:rFonts w:cs="Tahoma"/>
          <w:sz w:val="22"/>
          <w:szCs w:val="22"/>
        </w:rPr>
        <w:t>know</w:t>
      </w:r>
      <w:proofErr w:type="spellEnd"/>
      <w:r w:rsidRPr="00181C2A">
        <w:rPr>
          <w:rFonts w:cs="Tahoma"/>
          <w:sz w:val="22"/>
          <w:szCs w:val="22"/>
        </w:rPr>
        <w:t xml:space="preserve"> </w:t>
      </w:r>
      <w:proofErr w:type="spellStart"/>
      <w:r w:rsidRPr="00181C2A">
        <w:rPr>
          <w:rFonts w:cs="Tahoma"/>
          <w:sz w:val="22"/>
          <w:szCs w:val="22"/>
        </w:rPr>
        <w:t>principle</w:t>
      </w:r>
      <w:proofErr w:type="spellEnd"/>
      <w:r w:rsidRPr="00181C2A">
        <w:rPr>
          <w:rFonts w:cs="Tahoma"/>
          <w:sz w:val="22"/>
          <w:szCs w:val="22"/>
        </w:rPr>
        <w:t>)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789A91A6"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CD295E6" w14:textId="77777777" w:rsidR="00F90E81" w:rsidRPr="00920D5C" w:rsidRDefault="00F90E81" w:rsidP="00F90E81">
      <w:pPr>
        <w:pStyle w:val="Odstavecseseznamem"/>
        <w:spacing w:before="0" w:after="0" w:line="240" w:lineRule="auto"/>
        <w:ind w:left="714"/>
        <w:contextualSpacing w:val="0"/>
        <w:rPr>
          <w:rFonts w:cs="Tahoma"/>
          <w:sz w:val="22"/>
          <w:szCs w:val="22"/>
        </w:rPr>
      </w:pPr>
    </w:p>
    <w:p w14:paraId="15CD777E" w14:textId="77777777" w:rsidR="00F90E81" w:rsidRPr="00920D5C" w:rsidRDefault="00F90E81" w:rsidP="00F90E81">
      <w:pPr>
        <w:pStyle w:val="Odstavecseseznamem"/>
        <w:spacing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58" w:name="_Toc414525020"/>
      <w:bookmarkStart w:id="59" w:name="_Toc532824913"/>
      <w:r w:rsidRPr="00E716D6">
        <w:t>Monitorování</w:t>
      </w:r>
      <w:bookmarkStart w:id="60" w:name="_Toc414525022"/>
      <w:bookmarkEnd w:id="58"/>
      <w:r w:rsidRPr="00E716D6">
        <w:t xml:space="preserve"> činností</w:t>
      </w:r>
      <w:bookmarkEnd w:id="59"/>
    </w:p>
    <w:bookmarkEnd w:id="60"/>
    <w:p w14:paraId="3EA70FBD" w14:textId="77777777" w:rsidR="00F90E81" w:rsidRPr="00920D5C" w:rsidRDefault="00F90E81" w:rsidP="00F90E81">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2A13AD5D" w14:textId="77777777" w:rsidR="00F90E81" w:rsidRPr="00920D5C" w:rsidRDefault="00F90E81" w:rsidP="00F90E81">
      <w:pPr>
        <w:pStyle w:val="Odstavecseseznamem"/>
        <w:spacing w:before="0" w:after="0" w:line="240" w:lineRule="auto"/>
        <w:ind w:left="714"/>
        <w:rPr>
          <w:rFonts w:cs="Tahoma"/>
          <w:sz w:val="22"/>
          <w:szCs w:val="22"/>
        </w:rPr>
      </w:pPr>
    </w:p>
    <w:p w14:paraId="4FEE8B3F" w14:textId="77777777" w:rsidR="00F90E81" w:rsidRPr="00920D5C" w:rsidRDefault="00F90E81" w:rsidP="00F90E81">
      <w:pPr>
        <w:pStyle w:val="Odstavecseseznamem"/>
        <w:spacing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61" w:name="_Toc532824914"/>
      <w:bookmarkStart w:id="62" w:name="_Toc414525023"/>
      <w:r w:rsidRPr="00E716D6">
        <w:t>Předání a převzetí plnění</w:t>
      </w:r>
      <w:bookmarkEnd w:id="61"/>
    </w:p>
    <w:bookmarkEnd w:id="62"/>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63" w:name="_Toc532824915"/>
      <w:r w:rsidRPr="00E716D6">
        <w:t>Likvidace dat</w:t>
      </w:r>
      <w:bookmarkEnd w:id="63"/>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p w14:paraId="5EBD173B" w14:textId="75994E90" w:rsidR="00F90E81" w:rsidRDefault="00F90E81">
      <w:pPr>
        <w:rPr>
          <w:rFonts w:eastAsiaTheme="majorEastAsia" w:cstheme="majorBidi"/>
          <w:b/>
          <w:bCs/>
          <w:sz w:val="28"/>
          <w:lang w:eastAsia="en-US"/>
        </w:rPr>
      </w:pPr>
    </w:p>
    <w:bookmarkEnd w:id="37"/>
    <w:sectPr w:rsidR="00F90E81"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00035" w14:textId="77777777" w:rsidR="00380D3B" w:rsidRDefault="00380D3B" w:rsidP="00401355">
      <w:pPr>
        <w:spacing w:after="0" w:line="240" w:lineRule="auto"/>
      </w:pPr>
      <w:r>
        <w:separator/>
      </w:r>
    </w:p>
  </w:endnote>
  <w:endnote w:type="continuationSeparator" w:id="0">
    <w:p w14:paraId="572A0E60" w14:textId="77777777" w:rsidR="00380D3B" w:rsidRDefault="00380D3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07C6" w14:textId="71F6407E" w:rsidR="00380D3B" w:rsidRPr="00DE01BC" w:rsidRDefault="00380D3B">
    <w:pPr>
      <w:pStyle w:val="Zpat"/>
      <w:jc w:val="center"/>
      <w:rPr>
        <w:sz w:val="16"/>
      </w:rPr>
    </w:pPr>
  </w:p>
  <w:p w14:paraId="7BE397CE" w14:textId="77777777" w:rsidR="00543061" w:rsidRPr="002A311D" w:rsidRDefault="00543061" w:rsidP="00543061">
    <w:pPr>
      <w:spacing w:after="0" w:line="240" w:lineRule="auto"/>
      <w:rPr>
        <w:rFonts w:cs="Arial"/>
        <w:sz w:val="18"/>
        <w:szCs w:val="18"/>
      </w:rPr>
    </w:pPr>
    <w:bookmarkStart w:id="64" w:name="_Hlk94279221"/>
    <w:r w:rsidRPr="002A311D">
      <w:rPr>
        <w:rFonts w:cs="Arial"/>
        <w:sz w:val="18"/>
        <w:szCs w:val="18"/>
      </w:rPr>
      <w:t xml:space="preserve">Název projektu: </w:t>
    </w:r>
    <w:bookmarkStart w:id="65" w:name="_Hlk94188945"/>
    <w:r w:rsidRPr="008B1176">
      <w:rPr>
        <w:rFonts w:cs="Arial"/>
        <w:sz w:val="18"/>
        <w:szCs w:val="18"/>
      </w:rPr>
      <w:t xml:space="preserve">„Zajištění celoplošné dostupnosti vybraných a zabezpečených zdravotnických dat oprávněným zdravotnickým subjektům i pacientům, prostřednictvím implementace integrační vrstvy, spojené s technologickou připraveností vazby na další projekty </w:t>
    </w:r>
    <w:proofErr w:type="spellStart"/>
    <w:r w:rsidRPr="008B1176">
      <w:rPr>
        <w:rFonts w:cs="Arial"/>
        <w:sz w:val="18"/>
        <w:szCs w:val="18"/>
      </w:rPr>
      <w:t>eHealth</w:t>
    </w:r>
    <w:proofErr w:type="spellEnd"/>
    <w:r w:rsidRPr="008B1176">
      <w:rPr>
        <w:rFonts w:cs="Arial"/>
        <w:sz w:val="18"/>
        <w:szCs w:val="18"/>
      </w:rPr>
      <w:t>.“, číslo projektu: CZ.06.3.05/0.0/0.0/16_034/0006514.</w:t>
    </w:r>
    <w:bookmarkEnd w:id="65"/>
  </w:p>
  <w:bookmarkEnd w:id="64"/>
  <w:p w14:paraId="17569D9F" w14:textId="77777777" w:rsidR="00543061" w:rsidRDefault="00543061" w:rsidP="00543061">
    <w:pPr>
      <w:pStyle w:val="Zpat"/>
      <w:rPr>
        <w:rFonts w:cs="Arial"/>
        <w:sz w:val="20"/>
      </w:rPr>
    </w:pPr>
    <w:r w:rsidRPr="002A311D">
      <w:rPr>
        <w:rFonts w:cs="Arial"/>
        <w:b/>
        <w:sz w:val="18"/>
        <w:szCs w:val="18"/>
      </w:rPr>
      <w:t>Tento projekt je spolufinancován Evropskou unií z Evropského fondu pro regionální rozvoj.</w:t>
    </w:r>
    <w:r w:rsidR="00E71EFC">
      <w:rPr>
        <w:rFonts w:cs="Arial"/>
        <w:sz w:val="20"/>
      </w:rPr>
      <w:t xml:space="preserve"> </w:t>
    </w:r>
    <w:r w:rsidR="00C32CD4">
      <w:rPr>
        <w:rFonts w:cs="Arial"/>
        <w:sz w:val="20"/>
      </w:rPr>
      <w:t xml:space="preserve">                                                           </w:t>
    </w:r>
  </w:p>
  <w:p w14:paraId="4E6F16B4" w14:textId="4D09F1EA" w:rsidR="00C32CD4" w:rsidRDefault="00543061" w:rsidP="00543061">
    <w:pPr>
      <w:pStyle w:val="Zpat"/>
    </w:pPr>
    <w:r>
      <w:rPr>
        <w:rFonts w:cs="Arial"/>
        <w:sz w:val="20"/>
      </w:rPr>
      <w:tab/>
    </w:r>
    <w:r>
      <w:rPr>
        <w:rFonts w:cs="Arial"/>
        <w:sz w:val="20"/>
      </w:rPr>
      <w:tab/>
    </w:r>
    <w:r w:rsidR="00C32CD4" w:rsidRPr="009C3575">
      <w:rPr>
        <w:rFonts w:cs="Arial"/>
        <w:sz w:val="20"/>
      </w:rPr>
      <w:t xml:space="preserve">Stránka </w:t>
    </w:r>
    <w:r w:rsidR="00C32CD4" w:rsidRPr="00913B7F">
      <w:rPr>
        <w:rFonts w:cs="Arial"/>
        <w:b/>
        <w:sz w:val="20"/>
        <w:szCs w:val="20"/>
      </w:rPr>
      <w:fldChar w:fldCharType="begin"/>
    </w:r>
    <w:r w:rsidR="00C32CD4" w:rsidRPr="00617AE6">
      <w:rPr>
        <w:rFonts w:cs="Arial"/>
        <w:b/>
        <w:sz w:val="20"/>
        <w:szCs w:val="20"/>
      </w:rPr>
      <w:instrText>PAGE   \* MERGEFORMAT</w:instrText>
    </w:r>
    <w:r w:rsidR="00C32CD4" w:rsidRPr="00913B7F">
      <w:rPr>
        <w:rFonts w:cs="Arial"/>
        <w:b/>
        <w:sz w:val="20"/>
        <w:szCs w:val="20"/>
      </w:rPr>
      <w:fldChar w:fldCharType="separate"/>
    </w:r>
    <w:r w:rsidR="00573608">
      <w:rPr>
        <w:rFonts w:cs="Arial"/>
        <w:b/>
        <w:noProof/>
        <w:sz w:val="20"/>
        <w:szCs w:val="20"/>
      </w:rPr>
      <w:t>7</w:t>
    </w:r>
    <w:r w:rsidR="00C32CD4"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9F45E" w14:textId="77777777" w:rsidR="00380D3B" w:rsidRDefault="00380D3B" w:rsidP="00401355">
      <w:pPr>
        <w:spacing w:after="0" w:line="240" w:lineRule="auto"/>
      </w:pPr>
      <w:r>
        <w:separator/>
      </w:r>
    </w:p>
  </w:footnote>
  <w:footnote w:type="continuationSeparator" w:id="0">
    <w:p w14:paraId="3C2C7BAC" w14:textId="77777777" w:rsidR="00380D3B" w:rsidRDefault="00380D3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88B7" w14:textId="100AC4E3" w:rsidR="00E71EFC" w:rsidRDefault="000F2DD7" w:rsidP="00E71EFC">
    <w:pPr>
      <w:spacing w:after="0"/>
    </w:pPr>
    <w:r>
      <w:rPr>
        <w:noProof/>
      </w:rPr>
      <w:drawing>
        <wp:anchor distT="0" distB="0" distL="114300" distR="114300" simplePos="0" relativeHeight="251661312" behindDoc="0" locked="0" layoutInCell="1" allowOverlap="1" wp14:anchorId="1E874DC4" wp14:editId="2AD388AE">
          <wp:simplePos x="0" y="0"/>
          <wp:positionH relativeFrom="column">
            <wp:posOffset>-736600</wp:posOffset>
          </wp:positionH>
          <wp:positionV relativeFrom="paragraph">
            <wp:posOffset>-387985</wp:posOffset>
          </wp:positionV>
          <wp:extent cx="5068570" cy="838200"/>
          <wp:effectExtent l="0" t="0" r="0" b="0"/>
          <wp:wrapNone/>
          <wp:docPr id="100" name="Obrázek 100"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6857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7826">
      <w:rPr>
        <w:noProof/>
      </w:rPr>
      <w:drawing>
        <wp:anchor distT="0" distB="0" distL="114300" distR="114300" simplePos="0" relativeHeight="251659264" behindDoc="0" locked="0" layoutInCell="1" allowOverlap="1" wp14:anchorId="1347B435" wp14:editId="7116E54F">
          <wp:simplePos x="0" y="0"/>
          <wp:positionH relativeFrom="margin">
            <wp:posOffset>4297680</wp:posOffset>
          </wp:positionH>
          <wp:positionV relativeFrom="paragraph">
            <wp:posOffset>-200025</wp:posOffset>
          </wp:positionV>
          <wp:extent cx="1676400" cy="448945"/>
          <wp:effectExtent l="0" t="0" r="0" b="8255"/>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448945"/>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pt;height:35.5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E543EE"/>
    <w:multiLevelType w:val="multilevel"/>
    <w:tmpl w:val="4F222128"/>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DE65B54"/>
    <w:multiLevelType w:val="multilevel"/>
    <w:tmpl w:val="4F222128"/>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801069055">
    <w:abstractNumId w:val="4"/>
  </w:num>
  <w:num w:numId="2" w16cid:durableId="1352338941">
    <w:abstractNumId w:val="30"/>
  </w:num>
  <w:num w:numId="3" w16cid:durableId="1960527744">
    <w:abstractNumId w:val="28"/>
  </w:num>
  <w:num w:numId="4" w16cid:durableId="803281368">
    <w:abstractNumId w:val="26"/>
  </w:num>
  <w:num w:numId="5" w16cid:durableId="790365661">
    <w:abstractNumId w:val="6"/>
  </w:num>
  <w:num w:numId="6" w16cid:durableId="603541453">
    <w:abstractNumId w:val="32"/>
  </w:num>
  <w:num w:numId="7" w16cid:durableId="73555037">
    <w:abstractNumId w:val="18"/>
  </w:num>
  <w:num w:numId="8" w16cid:durableId="1141576841">
    <w:abstractNumId w:val="7"/>
  </w:num>
  <w:num w:numId="9" w16cid:durableId="1795096584">
    <w:abstractNumId w:val="17"/>
  </w:num>
  <w:num w:numId="10" w16cid:durableId="2084374865">
    <w:abstractNumId w:val="15"/>
  </w:num>
  <w:num w:numId="11" w16cid:durableId="1365865692">
    <w:abstractNumId w:val="27"/>
  </w:num>
  <w:num w:numId="12" w16cid:durableId="1119180352">
    <w:abstractNumId w:val="22"/>
  </w:num>
  <w:num w:numId="13" w16cid:durableId="1131707415">
    <w:abstractNumId w:val="14"/>
  </w:num>
  <w:num w:numId="14" w16cid:durableId="106124173">
    <w:abstractNumId w:val="12"/>
  </w:num>
  <w:num w:numId="15" w16cid:durableId="181404178">
    <w:abstractNumId w:val="24"/>
  </w:num>
  <w:num w:numId="16" w16cid:durableId="1762293822">
    <w:abstractNumId w:val="23"/>
  </w:num>
  <w:num w:numId="17" w16cid:durableId="1437096338">
    <w:abstractNumId w:val="19"/>
  </w:num>
  <w:num w:numId="18" w16cid:durableId="2049329930">
    <w:abstractNumId w:val="5"/>
  </w:num>
  <w:num w:numId="19" w16cid:durableId="2000426080">
    <w:abstractNumId w:val="35"/>
  </w:num>
  <w:num w:numId="20" w16cid:durableId="1606494275">
    <w:abstractNumId w:val="9"/>
  </w:num>
  <w:num w:numId="21" w16cid:durableId="2103181961">
    <w:abstractNumId w:val="36"/>
  </w:num>
  <w:num w:numId="22" w16cid:durableId="936524739">
    <w:abstractNumId w:val="11"/>
  </w:num>
  <w:num w:numId="23" w16cid:durableId="2018657955">
    <w:abstractNumId w:val="8"/>
  </w:num>
  <w:num w:numId="24" w16cid:durableId="967584484">
    <w:abstractNumId w:val="20"/>
  </w:num>
  <w:num w:numId="25" w16cid:durableId="2039576238">
    <w:abstractNumId w:val="1"/>
  </w:num>
  <w:num w:numId="26" w16cid:durableId="749037948">
    <w:abstractNumId w:val="33"/>
  </w:num>
  <w:num w:numId="27" w16cid:durableId="915357132">
    <w:abstractNumId w:val="10"/>
  </w:num>
  <w:num w:numId="28" w16cid:durableId="2143498584">
    <w:abstractNumId w:val="29"/>
  </w:num>
  <w:num w:numId="29" w16cid:durableId="1610773234">
    <w:abstractNumId w:val="2"/>
  </w:num>
  <w:num w:numId="30" w16cid:durableId="1579050901">
    <w:abstractNumId w:val="25"/>
  </w:num>
  <w:num w:numId="31" w16cid:durableId="2129664589">
    <w:abstractNumId w:val="21"/>
  </w:num>
  <w:num w:numId="32" w16cid:durableId="210071075">
    <w:abstractNumId w:val="0"/>
  </w:num>
  <w:num w:numId="33" w16cid:durableId="328678569">
    <w:abstractNumId w:val="13"/>
  </w:num>
  <w:num w:numId="34" w16cid:durableId="1767336839">
    <w:abstractNumId w:val="3"/>
  </w:num>
  <w:num w:numId="35" w16cid:durableId="1346326541">
    <w:abstractNumId w:val="16"/>
  </w:num>
  <w:num w:numId="36" w16cid:durableId="1940597399">
    <w:abstractNumId w:val="31"/>
  </w:num>
  <w:num w:numId="37" w16cid:durableId="133715619">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45B"/>
    <w:rsid w:val="00010C32"/>
    <w:rsid w:val="00013467"/>
    <w:rsid w:val="000163A7"/>
    <w:rsid w:val="00022E01"/>
    <w:rsid w:val="00031545"/>
    <w:rsid w:val="00035CDC"/>
    <w:rsid w:val="000370A3"/>
    <w:rsid w:val="0004756F"/>
    <w:rsid w:val="000538D0"/>
    <w:rsid w:val="000563D4"/>
    <w:rsid w:val="000572EA"/>
    <w:rsid w:val="000650F9"/>
    <w:rsid w:val="00070213"/>
    <w:rsid w:val="00072741"/>
    <w:rsid w:val="000756A6"/>
    <w:rsid w:val="00075CC4"/>
    <w:rsid w:val="000766C2"/>
    <w:rsid w:val="000769C2"/>
    <w:rsid w:val="000778E9"/>
    <w:rsid w:val="0008289B"/>
    <w:rsid w:val="0008335A"/>
    <w:rsid w:val="00083C38"/>
    <w:rsid w:val="0008461B"/>
    <w:rsid w:val="00090922"/>
    <w:rsid w:val="00090DFD"/>
    <w:rsid w:val="000917E4"/>
    <w:rsid w:val="00094A2A"/>
    <w:rsid w:val="00095115"/>
    <w:rsid w:val="000961B0"/>
    <w:rsid w:val="000A36A1"/>
    <w:rsid w:val="000A691F"/>
    <w:rsid w:val="000A69CC"/>
    <w:rsid w:val="000A7EF8"/>
    <w:rsid w:val="000B2FAF"/>
    <w:rsid w:val="000B61B2"/>
    <w:rsid w:val="000C0DD0"/>
    <w:rsid w:val="000C4A80"/>
    <w:rsid w:val="000C77CD"/>
    <w:rsid w:val="000D1B22"/>
    <w:rsid w:val="000D1C47"/>
    <w:rsid w:val="000D676F"/>
    <w:rsid w:val="000E103A"/>
    <w:rsid w:val="000E1D88"/>
    <w:rsid w:val="000E2621"/>
    <w:rsid w:val="000E3EEE"/>
    <w:rsid w:val="000E6888"/>
    <w:rsid w:val="000F1E80"/>
    <w:rsid w:val="000F2DD7"/>
    <w:rsid w:val="000F7F26"/>
    <w:rsid w:val="00102616"/>
    <w:rsid w:val="00105ADF"/>
    <w:rsid w:val="00106F37"/>
    <w:rsid w:val="00107AA0"/>
    <w:rsid w:val="00110E47"/>
    <w:rsid w:val="001140FF"/>
    <w:rsid w:val="00115A28"/>
    <w:rsid w:val="0012321B"/>
    <w:rsid w:val="00126460"/>
    <w:rsid w:val="001272B8"/>
    <w:rsid w:val="00127EE7"/>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C0696"/>
    <w:rsid w:val="001C5468"/>
    <w:rsid w:val="001C7E2E"/>
    <w:rsid w:val="001D633B"/>
    <w:rsid w:val="001E4174"/>
    <w:rsid w:val="001E5416"/>
    <w:rsid w:val="001F1AB6"/>
    <w:rsid w:val="001F246B"/>
    <w:rsid w:val="001F6CC6"/>
    <w:rsid w:val="00201B10"/>
    <w:rsid w:val="002026BC"/>
    <w:rsid w:val="002038DB"/>
    <w:rsid w:val="002043AC"/>
    <w:rsid w:val="002048FB"/>
    <w:rsid w:val="0020707F"/>
    <w:rsid w:val="00207EF6"/>
    <w:rsid w:val="0021306B"/>
    <w:rsid w:val="00216B26"/>
    <w:rsid w:val="00216C78"/>
    <w:rsid w:val="00217056"/>
    <w:rsid w:val="00223CC3"/>
    <w:rsid w:val="00224094"/>
    <w:rsid w:val="00226EB4"/>
    <w:rsid w:val="00227D6C"/>
    <w:rsid w:val="002305F2"/>
    <w:rsid w:val="0023659A"/>
    <w:rsid w:val="00241E82"/>
    <w:rsid w:val="0024684A"/>
    <w:rsid w:val="002527F3"/>
    <w:rsid w:val="0025293A"/>
    <w:rsid w:val="0025678A"/>
    <w:rsid w:val="00261B21"/>
    <w:rsid w:val="00263AEB"/>
    <w:rsid w:val="00265C23"/>
    <w:rsid w:val="002669C6"/>
    <w:rsid w:val="00271949"/>
    <w:rsid w:val="00275747"/>
    <w:rsid w:val="002771D7"/>
    <w:rsid w:val="002827AA"/>
    <w:rsid w:val="002923D5"/>
    <w:rsid w:val="0029570A"/>
    <w:rsid w:val="002A2607"/>
    <w:rsid w:val="002A2D80"/>
    <w:rsid w:val="002B3816"/>
    <w:rsid w:val="002B4DF5"/>
    <w:rsid w:val="002B533D"/>
    <w:rsid w:val="002B6406"/>
    <w:rsid w:val="002C50EB"/>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053BD"/>
    <w:rsid w:val="00306EED"/>
    <w:rsid w:val="00312B24"/>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29C9"/>
    <w:rsid w:val="00364984"/>
    <w:rsid w:val="003665DA"/>
    <w:rsid w:val="00370AE0"/>
    <w:rsid w:val="00372CD5"/>
    <w:rsid w:val="00380D3B"/>
    <w:rsid w:val="00382B79"/>
    <w:rsid w:val="00384CA4"/>
    <w:rsid w:val="00385983"/>
    <w:rsid w:val="0038601E"/>
    <w:rsid w:val="00386ED3"/>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401355"/>
    <w:rsid w:val="00403F0B"/>
    <w:rsid w:val="00411259"/>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2FE7"/>
    <w:rsid w:val="00480FF6"/>
    <w:rsid w:val="004821C6"/>
    <w:rsid w:val="00483BD6"/>
    <w:rsid w:val="004903FC"/>
    <w:rsid w:val="00490411"/>
    <w:rsid w:val="004911F2"/>
    <w:rsid w:val="00491AE7"/>
    <w:rsid w:val="0049781E"/>
    <w:rsid w:val="004A077E"/>
    <w:rsid w:val="004A0BAF"/>
    <w:rsid w:val="004A1D9D"/>
    <w:rsid w:val="004A4DDF"/>
    <w:rsid w:val="004A749D"/>
    <w:rsid w:val="004B069A"/>
    <w:rsid w:val="004B11E2"/>
    <w:rsid w:val="004D06B1"/>
    <w:rsid w:val="004D0AA9"/>
    <w:rsid w:val="004D13D0"/>
    <w:rsid w:val="004D2D2B"/>
    <w:rsid w:val="004D7917"/>
    <w:rsid w:val="004E483F"/>
    <w:rsid w:val="004E76A5"/>
    <w:rsid w:val="004F44BC"/>
    <w:rsid w:val="00502050"/>
    <w:rsid w:val="005065E3"/>
    <w:rsid w:val="00507596"/>
    <w:rsid w:val="005108CE"/>
    <w:rsid w:val="00510A0C"/>
    <w:rsid w:val="00514AF9"/>
    <w:rsid w:val="00520139"/>
    <w:rsid w:val="00522D8C"/>
    <w:rsid w:val="00523C34"/>
    <w:rsid w:val="005319DB"/>
    <w:rsid w:val="00532926"/>
    <w:rsid w:val="0053321D"/>
    <w:rsid w:val="00535A98"/>
    <w:rsid w:val="00535F9E"/>
    <w:rsid w:val="00536880"/>
    <w:rsid w:val="00541817"/>
    <w:rsid w:val="00543061"/>
    <w:rsid w:val="00544602"/>
    <w:rsid w:val="00545A00"/>
    <w:rsid w:val="005536A1"/>
    <w:rsid w:val="005556EB"/>
    <w:rsid w:val="00556A17"/>
    <w:rsid w:val="00557193"/>
    <w:rsid w:val="00557F88"/>
    <w:rsid w:val="005608D7"/>
    <w:rsid w:val="0056154C"/>
    <w:rsid w:val="00562AB7"/>
    <w:rsid w:val="00565887"/>
    <w:rsid w:val="00565AFA"/>
    <w:rsid w:val="00573608"/>
    <w:rsid w:val="00573A66"/>
    <w:rsid w:val="00575531"/>
    <w:rsid w:val="00581D5C"/>
    <w:rsid w:val="0058593F"/>
    <w:rsid w:val="00587198"/>
    <w:rsid w:val="00587365"/>
    <w:rsid w:val="00587EF1"/>
    <w:rsid w:val="00591F8A"/>
    <w:rsid w:val="00592E8E"/>
    <w:rsid w:val="00594270"/>
    <w:rsid w:val="005943A6"/>
    <w:rsid w:val="00596B52"/>
    <w:rsid w:val="005A1BA8"/>
    <w:rsid w:val="005A4A51"/>
    <w:rsid w:val="005A7CC0"/>
    <w:rsid w:val="005B4392"/>
    <w:rsid w:val="005C0549"/>
    <w:rsid w:val="005C08C5"/>
    <w:rsid w:val="005C1633"/>
    <w:rsid w:val="005C34C2"/>
    <w:rsid w:val="005D3202"/>
    <w:rsid w:val="005E1C7C"/>
    <w:rsid w:val="005E5D6F"/>
    <w:rsid w:val="005E5FE6"/>
    <w:rsid w:val="005F3588"/>
    <w:rsid w:val="00600717"/>
    <w:rsid w:val="006047AA"/>
    <w:rsid w:val="00605F50"/>
    <w:rsid w:val="00606388"/>
    <w:rsid w:val="00606DA8"/>
    <w:rsid w:val="00611E40"/>
    <w:rsid w:val="00613308"/>
    <w:rsid w:val="00613AE5"/>
    <w:rsid w:val="00616E4A"/>
    <w:rsid w:val="00633A78"/>
    <w:rsid w:val="006340B6"/>
    <w:rsid w:val="00640A13"/>
    <w:rsid w:val="006411B4"/>
    <w:rsid w:val="00641A01"/>
    <w:rsid w:val="00642711"/>
    <w:rsid w:val="0064448A"/>
    <w:rsid w:val="00646339"/>
    <w:rsid w:val="0064699E"/>
    <w:rsid w:val="00651661"/>
    <w:rsid w:val="006577F1"/>
    <w:rsid w:val="00657EB4"/>
    <w:rsid w:val="00666930"/>
    <w:rsid w:val="00671D96"/>
    <w:rsid w:val="00671E25"/>
    <w:rsid w:val="00672363"/>
    <w:rsid w:val="0067560F"/>
    <w:rsid w:val="006823D3"/>
    <w:rsid w:val="00683922"/>
    <w:rsid w:val="0068487D"/>
    <w:rsid w:val="006869C6"/>
    <w:rsid w:val="00690884"/>
    <w:rsid w:val="00695AA6"/>
    <w:rsid w:val="0069694E"/>
    <w:rsid w:val="00696BC8"/>
    <w:rsid w:val="006A0C86"/>
    <w:rsid w:val="006A3906"/>
    <w:rsid w:val="006A4306"/>
    <w:rsid w:val="006A6FAD"/>
    <w:rsid w:val="006C0D3A"/>
    <w:rsid w:val="006C1952"/>
    <w:rsid w:val="006C1D85"/>
    <w:rsid w:val="006C3D60"/>
    <w:rsid w:val="006C6B36"/>
    <w:rsid w:val="006C6BD0"/>
    <w:rsid w:val="006D3B74"/>
    <w:rsid w:val="006D71D3"/>
    <w:rsid w:val="006E37FE"/>
    <w:rsid w:val="006E62B1"/>
    <w:rsid w:val="006E74C8"/>
    <w:rsid w:val="006F01B5"/>
    <w:rsid w:val="006F64B7"/>
    <w:rsid w:val="0070211D"/>
    <w:rsid w:val="007029E9"/>
    <w:rsid w:val="00702DCC"/>
    <w:rsid w:val="007109B7"/>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77A0F"/>
    <w:rsid w:val="00781313"/>
    <w:rsid w:val="00781731"/>
    <w:rsid w:val="00781B32"/>
    <w:rsid w:val="00782E47"/>
    <w:rsid w:val="00783E23"/>
    <w:rsid w:val="00795742"/>
    <w:rsid w:val="00796B6F"/>
    <w:rsid w:val="007A0C5D"/>
    <w:rsid w:val="007B17CC"/>
    <w:rsid w:val="007C5DB2"/>
    <w:rsid w:val="007C65A0"/>
    <w:rsid w:val="007C7A85"/>
    <w:rsid w:val="007C7F01"/>
    <w:rsid w:val="007D03A8"/>
    <w:rsid w:val="007D1F73"/>
    <w:rsid w:val="007D28B5"/>
    <w:rsid w:val="007D3944"/>
    <w:rsid w:val="007E02B8"/>
    <w:rsid w:val="007E4554"/>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2C1D"/>
    <w:rsid w:val="008136F7"/>
    <w:rsid w:val="008175A4"/>
    <w:rsid w:val="00820175"/>
    <w:rsid w:val="00820273"/>
    <w:rsid w:val="008237BC"/>
    <w:rsid w:val="00833D7D"/>
    <w:rsid w:val="008364A0"/>
    <w:rsid w:val="008376F5"/>
    <w:rsid w:val="00837FDD"/>
    <w:rsid w:val="00841136"/>
    <w:rsid w:val="00842BE8"/>
    <w:rsid w:val="008431CA"/>
    <w:rsid w:val="00843837"/>
    <w:rsid w:val="0084485A"/>
    <w:rsid w:val="00844A39"/>
    <w:rsid w:val="008527E2"/>
    <w:rsid w:val="00857815"/>
    <w:rsid w:val="00857D09"/>
    <w:rsid w:val="00861415"/>
    <w:rsid w:val="00862216"/>
    <w:rsid w:val="00863042"/>
    <w:rsid w:val="00863EC7"/>
    <w:rsid w:val="008645AE"/>
    <w:rsid w:val="0086656D"/>
    <w:rsid w:val="008677B1"/>
    <w:rsid w:val="008766DA"/>
    <w:rsid w:val="0088513B"/>
    <w:rsid w:val="008851AA"/>
    <w:rsid w:val="00892ED8"/>
    <w:rsid w:val="008952A1"/>
    <w:rsid w:val="008958C8"/>
    <w:rsid w:val="00897F75"/>
    <w:rsid w:val="008A0A8C"/>
    <w:rsid w:val="008A2743"/>
    <w:rsid w:val="008A4528"/>
    <w:rsid w:val="008A6FEC"/>
    <w:rsid w:val="008A77DE"/>
    <w:rsid w:val="008B119E"/>
    <w:rsid w:val="008B1F32"/>
    <w:rsid w:val="008B27C7"/>
    <w:rsid w:val="008B75AB"/>
    <w:rsid w:val="008C0063"/>
    <w:rsid w:val="008C5F35"/>
    <w:rsid w:val="008D1637"/>
    <w:rsid w:val="008D23CD"/>
    <w:rsid w:val="008D6115"/>
    <w:rsid w:val="008D62B5"/>
    <w:rsid w:val="008E0694"/>
    <w:rsid w:val="008E4920"/>
    <w:rsid w:val="008E4FF0"/>
    <w:rsid w:val="008F44B4"/>
    <w:rsid w:val="008F4607"/>
    <w:rsid w:val="008F4DD9"/>
    <w:rsid w:val="008F505A"/>
    <w:rsid w:val="008F5857"/>
    <w:rsid w:val="009000C6"/>
    <w:rsid w:val="00900656"/>
    <w:rsid w:val="00900D1A"/>
    <w:rsid w:val="00901631"/>
    <w:rsid w:val="00904800"/>
    <w:rsid w:val="00904AAB"/>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56A2"/>
    <w:rsid w:val="00956CC3"/>
    <w:rsid w:val="009572E7"/>
    <w:rsid w:val="00957F22"/>
    <w:rsid w:val="009651BA"/>
    <w:rsid w:val="00967D26"/>
    <w:rsid w:val="00984F5A"/>
    <w:rsid w:val="00984FEA"/>
    <w:rsid w:val="00990AA2"/>
    <w:rsid w:val="00994C84"/>
    <w:rsid w:val="00997744"/>
    <w:rsid w:val="009A0244"/>
    <w:rsid w:val="009A31DE"/>
    <w:rsid w:val="009A5E76"/>
    <w:rsid w:val="009A737C"/>
    <w:rsid w:val="009B1090"/>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14C94"/>
    <w:rsid w:val="00A20782"/>
    <w:rsid w:val="00A20CED"/>
    <w:rsid w:val="00A23200"/>
    <w:rsid w:val="00A23402"/>
    <w:rsid w:val="00A35148"/>
    <w:rsid w:val="00A355BA"/>
    <w:rsid w:val="00A366D5"/>
    <w:rsid w:val="00A50B5D"/>
    <w:rsid w:val="00A52DD9"/>
    <w:rsid w:val="00A53C45"/>
    <w:rsid w:val="00A54446"/>
    <w:rsid w:val="00A56BC3"/>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589A"/>
    <w:rsid w:val="00AD5D0B"/>
    <w:rsid w:val="00AD66B2"/>
    <w:rsid w:val="00AE087E"/>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5622"/>
    <w:rsid w:val="00B469CC"/>
    <w:rsid w:val="00B52C42"/>
    <w:rsid w:val="00B55F8D"/>
    <w:rsid w:val="00B5653B"/>
    <w:rsid w:val="00B60988"/>
    <w:rsid w:val="00B652E9"/>
    <w:rsid w:val="00B717DB"/>
    <w:rsid w:val="00B74C00"/>
    <w:rsid w:val="00B77178"/>
    <w:rsid w:val="00B872C5"/>
    <w:rsid w:val="00B92203"/>
    <w:rsid w:val="00BA2B67"/>
    <w:rsid w:val="00BA3E13"/>
    <w:rsid w:val="00BB16D8"/>
    <w:rsid w:val="00BB18EA"/>
    <w:rsid w:val="00BB7F67"/>
    <w:rsid w:val="00BC0384"/>
    <w:rsid w:val="00BC043B"/>
    <w:rsid w:val="00BC0CBB"/>
    <w:rsid w:val="00BC2687"/>
    <w:rsid w:val="00BC5C1F"/>
    <w:rsid w:val="00BC7B67"/>
    <w:rsid w:val="00BD024B"/>
    <w:rsid w:val="00BE0E13"/>
    <w:rsid w:val="00BE12E8"/>
    <w:rsid w:val="00BE5576"/>
    <w:rsid w:val="00C06770"/>
    <w:rsid w:val="00C13524"/>
    <w:rsid w:val="00C154A1"/>
    <w:rsid w:val="00C2120B"/>
    <w:rsid w:val="00C21AD4"/>
    <w:rsid w:val="00C231CB"/>
    <w:rsid w:val="00C23E7D"/>
    <w:rsid w:val="00C23FC2"/>
    <w:rsid w:val="00C242C4"/>
    <w:rsid w:val="00C30C00"/>
    <w:rsid w:val="00C32CD4"/>
    <w:rsid w:val="00C33B4F"/>
    <w:rsid w:val="00C4281A"/>
    <w:rsid w:val="00C45A4B"/>
    <w:rsid w:val="00C5103B"/>
    <w:rsid w:val="00C5158F"/>
    <w:rsid w:val="00C5230D"/>
    <w:rsid w:val="00C52509"/>
    <w:rsid w:val="00C535CF"/>
    <w:rsid w:val="00C64EE3"/>
    <w:rsid w:val="00C65DF2"/>
    <w:rsid w:val="00C6685B"/>
    <w:rsid w:val="00C67452"/>
    <w:rsid w:val="00C71F81"/>
    <w:rsid w:val="00C76090"/>
    <w:rsid w:val="00C82249"/>
    <w:rsid w:val="00C872D2"/>
    <w:rsid w:val="00C87CD4"/>
    <w:rsid w:val="00C90346"/>
    <w:rsid w:val="00C93B7D"/>
    <w:rsid w:val="00C95320"/>
    <w:rsid w:val="00C9770F"/>
    <w:rsid w:val="00CA0F88"/>
    <w:rsid w:val="00CB015E"/>
    <w:rsid w:val="00CB3D0B"/>
    <w:rsid w:val="00CB3EEB"/>
    <w:rsid w:val="00CC4CD8"/>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5037"/>
    <w:rsid w:val="00D06F09"/>
    <w:rsid w:val="00D0706F"/>
    <w:rsid w:val="00D15E19"/>
    <w:rsid w:val="00D16146"/>
    <w:rsid w:val="00D24040"/>
    <w:rsid w:val="00D312F9"/>
    <w:rsid w:val="00D31DDE"/>
    <w:rsid w:val="00D332DB"/>
    <w:rsid w:val="00D42A78"/>
    <w:rsid w:val="00D42DEE"/>
    <w:rsid w:val="00D43197"/>
    <w:rsid w:val="00D44251"/>
    <w:rsid w:val="00D44AD2"/>
    <w:rsid w:val="00D5123F"/>
    <w:rsid w:val="00D53F86"/>
    <w:rsid w:val="00D5437E"/>
    <w:rsid w:val="00D56E5A"/>
    <w:rsid w:val="00D649DD"/>
    <w:rsid w:val="00D67196"/>
    <w:rsid w:val="00D700DB"/>
    <w:rsid w:val="00D72261"/>
    <w:rsid w:val="00D741EC"/>
    <w:rsid w:val="00D773E2"/>
    <w:rsid w:val="00D80250"/>
    <w:rsid w:val="00D82167"/>
    <w:rsid w:val="00D84649"/>
    <w:rsid w:val="00D84C1C"/>
    <w:rsid w:val="00D85EED"/>
    <w:rsid w:val="00D85F96"/>
    <w:rsid w:val="00D87969"/>
    <w:rsid w:val="00D879BD"/>
    <w:rsid w:val="00D90988"/>
    <w:rsid w:val="00D917A1"/>
    <w:rsid w:val="00D94311"/>
    <w:rsid w:val="00D94FAC"/>
    <w:rsid w:val="00D95D8C"/>
    <w:rsid w:val="00D96AD6"/>
    <w:rsid w:val="00D97E59"/>
    <w:rsid w:val="00DA10B7"/>
    <w:rsid w:val="00DB3900"/>
    <w:rsid w:val="00DB5437"/>
    <w:rsid w:val="00DC1937"/>
    <w:rsid w:val="00DC2159"/>
    <w:rsid w:val="00DC65CF"/>
    <w:rsid w:val="00DD150F"/>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2BC"/>
    <w:rsid w:val="00DF6593"/>
    <w:rsid w:val="00DF6D48"/>
    <w:rsid w:val="00E03EBA"/>
    <w:rsid w:val="00E07883"/>
    <w:rsid w:val="00E1334E"/>
    <w:rsid w:val="00E146E4"/>
    <w:rsid w:val="00E161FF"/>
    <w:rsid w:val="00E21406"/>
    <w:rsid w:val="00E256B3"/>
    <w:rsid w:val="00E332DB"/>
    <w:rsid w:val="00E361DC"/>
    <w:rsid w:val="00E406CE"/>
    <w:rsid w:val="00E41E4B"/>
    <w:rsid w:val="00E432FF"/>
    <w:rsid w:val="00E43B54"/>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14D3"/>
    <w:rsid w:val="00EA0125"/>
    <w:rsid w:val="00EA2E29"/>
    <w:rsid w:val="00EA7623"/>
    <w:rsid w:val="00EB05C0"/>
    <w:rsid w:val="00EB25EC"/>
    <w:rsid w:val="00EB434D"/>
    <w:rsid w:val="00EB56CE"/>
    <w:rsid w:val="00EC218E"/>
    <w:rsid w:val="00EC28C7"/>
    <w:rsid w:val="00EC5A05"/>
    <w:rsid w:val="00EC7677"/>
    <w:rsid w:val="00ED0604"/>
    <w:rsid w:val="00ED2BF5"/>
    <w:rsid w:val="00ED34A1"/>
    <w:rsid w:val="00ED3EF3"/>
    <w:rsid w:val="00EE1071"/>
    <w:rsid w:val="00EE4AB9"/>
    <w:rsid w:val="00EE7FB3"/>
    <w:rsid w:val="00EF6E2D"/>
    <w:rsid w:val="00EF7BCB"/>
    <w:rsid w:val="00F01A96"/>
    <w:rsid w:val="00F04D99"/>
    <w:rsid w:val="00F10BA5"/>
    <w:rsid w:val="00F10F49"/>
    <w:rsid w:val="00F112E9"/>
    <w:rsid w:val="00F11909"/>
    <w:rsid w:val="00F12F6D"/>
    <w:rsid w:val="00F132C9"/>
    <w:rsid w:val="00F1432C"/>
    <w:rsid w:val="00F14CFE"/>
    <w:rsid w:val="00F15624"/>
    <w:rsid w:val="00F17646"/>
    <w:rsid w:val="00F30E85"/>
    <w:rsid w:val="00F32147"/>
    <w:rsid w:val="00F3343C"/>
    <w:rsid w:val="00F33B2C"/>
    <w:rsid w:val="00F42980"/>
    <w:rsid w:val="00F43318"/>
    <w:rsid w:val="00F475F5"/>
    <w:rsid w:val="00F47826"/>
    <w:rsid w:val="00F53860"/>
    <w:rsid w:val="00F551B1"/>
    <w:rsid w:val="00F60028"/>
    <w:rsid w:val="00F61CF2"/>
    <w:rsid w:val="00F6466E"/>
    <w:rsid w:val="00F65F32"/>
    <w:rsid w:val="00F66A30"/>
    <w:rsid w:val="00F66DFE"/>
    <w:rsid w:val="00F8154D"/>
    <w:rsid w:val="00F81B41"/>
    <w:rsid w:val="00F86458"/>
    <w:rsid w:val="00F86B86"/>
    <w:rsid w:val="00F90499"/>
    <w:rsid w:val="00F90E81"/>
    <w:rsid w:val="00F9466B"/>
    <w:rsid w:val="00F9482F"/>
    <w:rsid w:val="00F96E93"/>
    <w:rsid w:val="00F97BCF"/>
    <w:rsid w:val="00F97C15"/>
    <w:rsid w:val="00FA1D1B"/>
    <w:rsid w:val="00FA21BF"/>
    <w:rsid w:val="00FA313F"/>
    <w:rsid w:val="00FB28D4"/>
    <w:rsid w:val="00FB541C"/>
    <w:rsid w:val="00FC3D0C"/>
    <w:rsid w:val="00FC6F4E"/>
    <w:rsid w:val="00FD18D6"/>
    <w:rsid w:val="00FD2E0D"/>
    <w:rsid w:val="00FD5BFF"/>
    <w:rsid w:val="00FD68CF"/>
    <w:rsid w:val="00FE179C"/>
    <w:rsid w:val="00FE3E97"/>
    <w:rsid w:val="00FE68C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15EE2"/>
    <w:rsid w:val="003A4256"/>
    <w:rsid w:val="00430625"/>
    <w:rsid w:val="004C4370"/>
    <w:rsid w:val="005740E3"/>
    <w:rsid w:val="00657E73"/>
    <w:rsid w:val="00660E62"/>
    <w:rsid w:val="0079389A"/>
    <w:rsid w:val="007A2407"/>
    <w:rsid w:val="009870AD"/>
    <w:rsid w:val="00A902EA"/>
    <w:rsid w:val="00C42913"/>
    <w:rsid w:val="00CE1919"/>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1322</TotalTime>
  <Pages>24</Pages>
  <Words>7257</Words>
  <Characters>42817</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Novák Radomil (PKN-ICT)</cp:lastModifiedBy>
  <cp:revision>90</cp:revision>
  <cp:lastPrinted>2018-03-20T09:42:00Z</cp:lastPrinted>
  <dcterms:created xsi:type="dcterms:W3CDTF">2019-10-08T05:52:00Z</dcterms:created>
  <dcterms:modified xsi:type="dcterms:W3CDTF">2022-08-11T06:50:00Z</dcterms:modified>
</cp:coreProperties>
</file>