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EC" w:rsidRPr="00376429" w:rsidRDefault="004173EC" w:rsidP="00083AD7">
      <w:pPr>
        <w:spacing w:after="8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376429">
        <w:rPr>
          <w:rFonts w:ascii="Arial" w:hAnsi="Arial" w:cs="Arial"/>
          <w:sz w:val="18"/>
          <w:szCs w:val="18"/>
        </w:rPr>
        <w:t xml:space="preserve">   </w:t>
      </w:r>
      <w:r w:rsidR="00376429" w:rsidRPr="00376429">
        <w:rPr>
          <w:rFonts w:ascii="Arial" w:hAnsi="Arial" w:cs="Arial"/>
          <w:sz w:val="18"/>
          <w:szCs w:val="18"/>
        </w:rPr>
        <w:t>Příloha č. 3 SOD</w:t>
      </w:r>
      <w:r w:rsidRPr="00376429">
        <w:rPr>
          <w:rFonts w:ascii="Arial" w:hAnsi="Arial" w:cs="Arial"/>
          <w:sz w:val="18"/>
          <w:szCs w:val="18"/>
        </w:rPr>
        <w:t xml:space="preserve">                        </w:t>
      </w:r>
    </w:p>
    <w:p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9D2068">
        <w:rPr>
          <w:rFonts w:ascii="Arial" w:hAnsi="Arial" w:cs="Arial"/>
          <w:b/>
          <w:sz w:val="28"/>
          <w:szCs w:val="28"/>
        </w:rPr>
        <w:t>……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:rsidR="00AB321B" w:rsidRDefault="00083AD7" w:rsidP="002F6F9A">
      <w:pPr>
        <w:pStyle w:val="Nzev"/>
      </w:pPr>
      <w:r w:rsidRPr="00DC00FB">
        <w:t>Povinnosti zhotovitele projektové dokumentace</w:t>
      </w:r>
      <w:r w:rsidR="00AB321B">
        <w:t xml:space="preserve"> a poskytovatele služeb autorského dozoru</w:t>
      </w:r>
      <w:r w:rsidRPr="00DC00FB">
        <w:t xml:space="preserve"> vyplývající z finanční spoluúčasti evropských fondů na přípravě a realizaci projektů</w:t>
      </w:r>
      <w:r w:rsidR="00D60A9B">
        <w:t xml:space="preserve"> v</w:t>
      </w:r>
      <w:r w:rsidR="002F6F9A">
        <w:t> </w:t>
      </w:r>
      <w:r w:rsidR="00D60A9B">
        <w:t>rámci</w:t>
      </w:r>
      <w:r w:rsidR="002F6F9A">
        <w:t xml:space="preserve"> </w:t>
      </w:r>
    </w:p>
    <w:p w:rsidR="00083AD7" w:rsidRPr="00DC00FB" w:rsidRDefault="002F6F9A" w:rsidP="002F6F9A">
      <w:pPr>
        <w:pStyle w:val="Nzev"/>
      </w:pPr>
      <w:r w:rsidRPr="002F6F9A">
        <w:rPr>
          <w:color w:val="0070C0"/>
        </w:rPr>
        <w:t xml:space="preserve">Programu </w:t>
      </w:r>
      <w:proofErr w:type="spellStart"/>
      <w:r w:rsidRPr="002F6F9A">
        <w:rPr>
          <w:color w:val="0070C0"/>
        </w:rPr>
        <w:t>Interreg</w:t>
      </w:r>
      <w:proofErr w:type="spellEnd"/>
      <w:r w:rsidRPr="002F6F9A">
        <w:rPr>
          <w:color w:val="0070C0"/>
        </w:rPr>
        <w:t xml:space="preserve"> Česko-Polsko 2021-2027 </w:t>
      </w:r>
    </w:p>
    <w:p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:rsidR="002F6F9A" w:rsidRPr="004D0D2A" w:rsidRDefault="00083AD7" w:rsidP="002F6F9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="00AB321B">
        <w:rPr>
          <w:rFonts w:ascii="Arial" w:hAnsi="Arial" w:cs="Arial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se zavazuje plnit povinnosti vyplývající z podmínek uvedených v platné verzi výzv</w:t>
      </w:r>
      <w:r w:rsidR="00880B17" w:rsidRPr="004E029C">
        <w:rPr>
          <w:rFonts w:ascii="Arial" w:hAnsi="Arial" w:cs="Arial"/>
          <w:sz w:val="22"/>
          <w:szCs w:val="22"/>
        </w:rPr>
        <w:t xml:space="preserve">y </w:t>
      </w:r>
      <w:r w:rsidR="00D60A9B" w:rsidRPr="004E029C">
        <w:rPr>
          <w:rFonts w:ascii="Arial" w:hAnsi="Arial" w:cs="Arial"/>
          <w:sz w:val="22"/>
          <w:szCs w:val="22"/>
        </w:rPr>
        <w:t>konkrétního operačního programu</w:t>
      </w:r>
      <w:r w:rsidR="00880B17" w:rsidRPr="004E029C">
        <w:rPr>
          <w:rFonts w:ascii="Arial" w:hAnsi="Arial" w:cs="Arial"/>
          <w:sz w:val="22"/>
          <w:szCs w:val="22"/>
        </w:rPr>
        <w:t xml:space="preserve">. </w:t>
      </w:r>
      <w:r w:rsidRPr="004E029C">
        <w:rPr>
          <w:rFonts w:ascii="Arial" w:hAnsi="Arial" w:cs="Arial"/>
          <w:sz w:val="22"/>
          <w:szCs w:val="22"/>
        </w:rPr>
        <w:t>Aktuální dokumenty jsou uvedeny na internetov</w:t>
      </w:r>
      <w:r w:rsidR="00D60A9B" w:rsidRPr="004E029C">
        <w:rPr>
          <w:rFonts w:ascii="Arial" w:hAnsi="Arial" w:cs="Arial"/>
          <w:sz w:val="22"/>
          <w:szCs w:val="22"/>
        </w:rPr>
        <w:t>é adrese:</w:t>
      </w:r>
      <w:r w:rsidR="004D0D2A">
        <w:rPr>
          <w:rFonts w:ascii="Arial" w:hAnsi="Arial" w:cs="Arial"/>
          <w:sz w:val="22"/>
          <w:szCs w:val="22"/>
        </w:rPr>
        <w:t xml:space="preserve"> </w:t>
      </w:r>
      <w:r w:rsidR="009B0133" w:rsidRPr="004D0D2A">
        <w:rPr>
          <w:rStyle w:val="Hypertextovodkaz"/>
          <w:rFonts w:ascii="Arial" w:hAnsi="Arial" w:cs="Arial"/>
          <w:sz w:val="22"/>
          <w:szCs w:val="22"/>
        </w:rPr>
        <w:t>https://www.cz-pl.eu/</w:t>
      </w:r>
    </w:p>
    <w:p w:rsidR="008D54B4" w:rsidRPr="004E029C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archivovat veškeré </w:t>
      </w:r>
      <w:r w:rsidR="00831F40">
        <w:rPr>
          <w:rFonts w:ascii="Arial" w:hAnsi="Arial" w:cs="Arial"/>
          <w:sz w:val="22"/>
          <w:szCs w:val="22"/>
        </w:rPr>
        <w:t>dokumenty související s dílem (s</w:t>
      </w:r>
      <w:r w:rsidRPr="004E029C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>
        <w:rPr>
          <w:rFonts w:ascii="Arial" w:hAnsi="Arial" w:cs="Arial"/>
          <w:sz w:val="22"/>
          <w:szCs w:val="22"/>
        </w:rPr>
        <w:t>hodnutí (kolaudačního souhlasu)</w:t>
      </w:r>
      <w:r w:rsidRPr="004E029C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>
        <w:rPr>
          <w:rFonts w:ascii="Arial" w:hAnsi="Arial" w:cs="Arial"/>
          <w:sz w:val="22"/>
          <w:szCs w:val="22"/>
        </w:rPr>
        <w:t>, nejméně však do 31. 12. 2035</w:t>
      </w:r>
      <w:r w:rsidRPr="004E029C">
        <w:rPr>
          <w:rFonts w:ascii="Arial" w:hAnsi="Arial" w:cs="Arial"/>
          <w:sz w:val="22"/>
          <w:szCs w:val="22"/>
        </w:rPr>
        <w:t>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="00AB321B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31. 12. 2035 </w:t>
      </w:r>
      <w:r w:rsidRPr="004E029C">
        <w:rPr>
          <w:rFonts w:ascii="Arial" w:hAnsi="Arial" w:cs="Arial"/>
          <w:sz w:val="22"/>
          <w:szCs w:val="22"/>
        </w:rPr>
        <w:t>ve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>České republiky, Ministerstvem pro místní rozvoj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Zhotovitel je povinen při výkonu auditu spolupůsobit.</w:t>
      </w:r>
    </w:p>
    <w:p w:rsidR="00083AD7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:rsidR="00AB321B" w:rsidRDefault="00AB321B" w:rsidP="00AB321B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</w:p>
    <w:p w:rsidR="00AB321B" w:rsidRPr="004E029C" w:rsidRDefault="00AB321B" w:rsidP="00AB321B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</w:p>
    <w:p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Povinnými nástroji publicity jsou: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- 1 ks dočasný </w:t>
      </w:r>
      <w:r w:rsidR="005A0DCA">
        <w:rPr>
          <w:rFonts w:ascii="Arial" w:hAnsi="Arial" w:cs="Arial"/>
          <w:sz w:val="22"/>
          <w:szCs w:val="22"/>
        </w:rPr>
        <w:t>velkoplošný panel</w:t>
      </w:r>
      <w:r w:rsidRPr="004E029C">
        <w:rPr>
          <w:rFonts w:ascii="Arial" w:hAnsi="Arial" w:cs="Arial"/>
          <w:sz w:val="22"/>
          <w:szCs w:val="22"/>
        </w:rPr>
        <w:t xml:space="preserve"> o rozměrech </w:t>
      </w:r>
      <w:r w:rsidR="005A0DCA">
        <w:rPr>
          <w:rFonts w:ascii="Arial" w:hAnsi="Arial" w:cs="Arial"/>
          <w:sz w:val="22"/>
          <w:szCs w:val="22"/>
        </w:rPr>
        <w:t>minimálně 2,5</w:t>
      </w:r>
      <w:r w:rsidRPr="004E029C">
        <w:rPr>
          <w:rFonts w:ascii="Arial" w:hAnsi="Arial" w:cs="Arial"/>
          <w:sz w:val="22"/>
          <w:szCs w:val="22"/>
        </w:rPr>
        <w:t xml:space="preserve"> x </w:t>
      </w:r>
      <w:r w:rsidR="005A0DCA">
        <w:rPr>
          <w:rFonts w:ascii="Arial" w:hAnsi="Arial" w:cs="Arial"/>
          <w:sz w:val="22"/>
          <w:szCs w:val="22"/>
        </w:rPr>
        <w:t>1,5</w:t>
      </w:r>
      <w:r w:rsidRPr="004E029C">
        <w:rPr>
          <w:rFonts w:ascii="Arial" w:hAnsi="Arial" w:cs="Arial"/>
          <w:sz w:val="22"/>
          <w:szCs w:val="22"/>
        </w:rPr>
        <w:t xml:space="preserve"> m, umístěný po dobu realizace projektu v místě realizace projektu,</w:t>
      </w:r>
    </w:p>
    <w:p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- </w:t>
      </w:r>
      <w:r w:rsidR="00666475">
        <w:rPr>
          <w:rFonts w:ascii="Arial" w:hAnsi="Arial" w:cs="Arial"/>
          <w:sz w:val="22"/>
          <w:szCs w:val="22"/>
        </w:rPr>
        <w:t xml:space="preserve">1 ks </w:t>
      </w:r>
      <w:r w:rsidR="005A0DCA" w:rsidRPr="005A0DCA">
        <w:rPr>
          <w:rFonts w:ascii="Arial" w:hAnsi="Arial" w:cs="Arial"/>
          <w:sz w:val="22"/>
          <w:szCs w:val="22"/>
        </w:rPr>
        <w:t>stál</w:t>
      </w:r>
      <w:r w:rsidR="00666475">
        <w:rPr>
          <w:rFonts w:ascii="Arial" w:hAnsi="Arial" w:cs="Arial"/>
          <w:sz w:val="22"/>
          <w:szCs w:val="22"/>
        </w:rPr>
        <w:t>á vysvětlující tabule</w:t>
      </w:r>
      <w:r w:rsidR="005A0DCA" w:rsidRPr="005A0DCA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>o rozměrech 0,3 x 0,4 m, umístěn</w:t>
      </w:r>
      <w:r w:rsidR="00666475">
        <w:rPr>
          <w:rFonts w:ascii="Arial" w:hAnsi="Arial" w:cs="Arial"/>
          <w:sz w:val="22"/>
          <w:szCs w:val="22"/>
        </w:rPr>
        <w:t>é</w:t>
      </w:r>
      <w:r w:rsidRPr="004E029C">
        <w:rPr>
          <w:rFonts w:ascii="Arial" w:hAnsi="Arial" w:cs="Arial"/>
          <w:sz w:val="22"/>
          <w:szCs w:val="22"/>
        </w:rPr>
        <w:t xml:space="preserve"> </w:t>
      </w:r>
      <w:r w:rsidR="00666475">
        <w:rPr>
          <w:rFonts w:ascii="Arial" w:hAnsi="Arial" w:cs="Arial"/>
          <w:sz w:val="22"/>
          <w:szCs w:val="22"/>
        </w:rPr>
        <w:t xml:space="preserve">nejpozději do 3 měsíců po </w:t>
      </w:r>
      <w:r w:rsidRPr="004E029C">
        <w:rPr>
          <w:rFonts w:ascii="Arial" w:hAnsi="Arial" w:cs="Arial"/>
          <w:sz w:val="22"/>
          <w:szCs w:val="22"/>
        </w:rPr>
        <w:t xml:space="preserve">dokončení realizace projektu </w:t>
      </w:r>
      <w:r w:rsidR="00666475" w:rsidRPr="004E029C">
        <w:rPr>
          <w:rFonts w:ascii="Arial" w:hAnsi="Arial" w:cs="Arial"/>
          <w:sz w:val="22"/>
          <w:szCs w:val="22"/>
        </w:rPr>
        <w:t>umístěn</w:t>
      </w:r>
      <w:r w:rsidR="00666475">
        <w:rPr>
          <w:rFonts w:ascii="Arial" w:hAnsi="Arial" w:cs="Arial"/>
          <w:sz w:val="22"/>
          <w:szCs w:val="22"/>
        </w:rPr>
        <w:t xml:space="preserve">á </w:t>
      </w:r>
      <w:r w:rsidRPr="004E029C">
        <w:rPr>
          <w:rFonts w:ascii="Arial" w:hAnsi="Arial" w:cs="Arial"/>
          <w:sz w:val="22"/>
          <w:szCs w:val="22"/>
        </w:rPr>
        <w:t>v místě realizace projektu.</w:t>
      </w:r>
    </w:p>
    <w:p w:rsidR="005A0DCA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AB321B" w:rsidRPr="00AB321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</w:p>
    <w:p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:rsidR="008D54B4" w:rsidRPr="004E029C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:rsidR="004D0D2A" w:rsidRDefault="00083AD7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:rsidR="006234D8" w:rsidRPr="004D0D2A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0D2A">
        <w:rPr>
          <w:rFonts w:ascii="Arial" w:hAnsi="Arial" w:cs="Arial"/>
          <w:sz w:val="22"/>
          <w:szCs w:val="22"/>
        </w:rPr>
        <w:t>Položkový rozpočet stavby podepsaný autorizovaným projektantem musí být členěný podle jednotného ceníku stavebních prací v</w:t>
      </w:r>
      <w:r w:rsidR="007D1A2F" w:rsidRPr="004D0D2A">
        <w:rPr>
          <w:rFonts w:ascii="Arial" w:hAnsi="Arial" w:cs="Arial"/>
          <w:sz w:val="22"/>
          <w:szCs w:val="22"/>
        </w:rPr>
        <w:t xml:space="preserve"> aktuální </w:t>
      </w:r>
      <w:r w:rsidRPr="004D0D2A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D0D2A">
        <w:rPr>
          <w:rFonts w:ascii="Arial" w:hAnsi="Arial" w:cs="Arial"/>
          <w:sz w:val="22"/>
          <w:szCs w:val="22"/>
        </w:rPr>
        <w:t xml:space="preserve">sloupec, ve kterém je uveden </w:t>
      </w:r>
      <w:r w:rsidRPr="004D0D2A">
        <w:rPr>
          <w:rFonts w:ascii="Arial" w:hAnsi="Arial" w:cs="Arial"/>
          <w:sz w:val="22"/>
          <w:szCs w:val="22"/>
        </w:rPr>
        <w:t>odkaz na typ použité cenové soustavy ve tvaru "</w:t>
      </w:r>
      <w:proofErr w:type="spellStart"/>
      <w:r w:rsidRPr="004D0D2A">
        <w:rPr>
          <w:rFonts w:ascii="Arial" w:hAnsi="Arial" w:cs="Arial"/>
          <w:sz w:val="22"/>
          <w:szCs w:val="22"/>
        </w:rPr>
        <w:t>rok_</w:t>
      </w:r>
      <w:r w:rsidR="007D1A2F" w:rsidRPr="004D0D2A">
        <w:rPr>
          <w:rFonts w:ascii="Arial" w:hAnsi="Arial" w:cs="Arial"/>
          <w:sz w:val="22"/>
          <w:szCs w:val="22"/>
        </w:rPr>
        <w:t>t</w:t>
      </w:r>
      <w:r w:rsidRPr="004D0D2A">
        <w:rPr>
          <w:rFonts w:ascii="Arial" w:hAnsi="Arial" w:cs="Arial"/>
          <w:sz w:val="22"/>
          <w:szCs w:val="22"/>
        </w:rPr>
        <w:t>yp</w:t>
      </w:r>
      <w:proofErr w:type="spellEnd"/>
      <w:r w:rsidRPr="004D0D2A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>jsou 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proofErr w:type="gram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:rsidR="00C83A5E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t>a způsob jejich ocenění. Pokud projektant uvede vlastní položky, které nejsou definovány v použité cenové soustavě, uvede jejich přesnou specifikaci a způsob jejich ocenění.</w:t>
      </w:r>
    </w:p>
    <w:p w:rsidR="004D0D2A" w:rsidRDefault="00C83A5E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:rsidR="002B125F" w:rsidRPr="004E029C" w:rsidRDefault="002B125F" w:rsidP="004A2943">
      <w:pPr>
        <w:spacing w:after="80"/>
        <w:jc w:val="both"/>
        <w:rPr>
          <w:rFonts w:ascii="Arial" w:hAnsi="Arial" w:cs="Arial"/>
        </w:rPr>
      </w:pPr>
    </w:p>
    <w:sectPr w:rsidR="002B125F" w:rsidRPr="004E029C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53F5F"/>
    <w:rsid w:val="00076DA7"/>
    <w:rsid w:val="00083AD7"/>
    <w:rsid w:val="000E676C"/>
    <w:rsid w:val="001933C5"/>
    <w:rsid w:val="001943AD"/>
    <w:rsid w:val="001A7250"/>
    <w:rsid w:val="001F16EE"/>
    <w:rsid w:val="00265D52"/>
    <w:rsid w:val="00270787"/>
    <w:rsid w:val="0028070B"/>
    <w:rsid w:val="002B125F"/>
    <w:rsid w:val="002F6F9A"/>
    <w:rsid w:val="00357438"/>
    <w:rsid w:val="00376429"/>
    <w:rsid w:val="00393045"/>
    <w:rsid w:val="003E009D"/>
    <w:rsid w:val="003E5C3E"/>
    <w:rsid w:val="003E7FA0"/>
    <w:rsid w:val="00410129"/>
    <w:rsid w:val="004173EC"/>
    <w:rsid w:val="00466FFB"/>
    <w:rsid w:val="00480F23"/>
    <w:rsid w:val="004A2943"/>
    <w:rsid w:val="004B51A2"/>
    <w:rsid w:val="004C31C7"/>
    <w:rsid w:val="004D0D2A"/>
    <w:rsid w:val="004E029C"/>
    <w:rsid w:val="00500C91"/>
    <w:rsid w:val="005072CC"/>
    <w:rsid w:val="0058247F"/>
    <w:rsid w:val="005A0DCA"/>
    <w:rsid w:val="005B0033"/>
    <w:rsid w:val="005F2CAD"/>
    <w:rsid w:val="006234D8"/>
    <w:rsid w:val="006553EE"/>
    <w:rsid w:val="0065662D"/>
    <w:rsid w:val="00666475"/>
    <w:rsid w:val="00680830"/>
    <w:rsid w:val="00773D5E"/>
    <w:rsid w:val="007D056D"/>
    <w:rsid w:val="007D1A2F"/>
    <w:rsid w:val="00831F40"/>
    <w:rsid w:val="00880B17"/>
    <w:rsid w:val="00887B19"/>
    <w:rsid w:val="008D01AB"/>
    <w:rsid w:val="008D54B4"/>
    <w:rsid w:val="008E40EA"/>
    <w:rsid w:val="008F309E"/>
    <w:rsid w:val="00903669"/>
    <w:rsid w:val="00916C94"/>
    <w:rsid w:val="00967A2B"/>
    <w:rsid w:val="0097313B"/>
    <w:rsid w:val="009A7282"/>
    <w:rsid w:val="009B0133"/>
    <w:rsid w:val="009D2068"/>
    <w:rsid w:val="00AB321B"/>
    <w:rsid w:val="00AE09CE"/>
    <w:rsid w:val="00AE5D57"/>
    <w:rsid w:val="00B06D0E"/>
    <w:rsid w:val="00B84082"/>
    <w:rsid w:val="00B93E61"/>
    <w:rsid w:val="00C83A5E"/>
    <w:rsid w:val="00CA3D32"/>
    <w:rsid w:val="00CE554D"/>
    <w:rsid w:val="00D14425"/>
    <w:rsid w:val="00D16F77"/>
    <w:rsid w:val="00D42641"/>
    <w:rsid w:val="00D60A9B"/>
    <w:rsid w:val="00DB07C0"/>
    <w:rsid w:val="00DD639A"/>
    <w:rsid w:val="00E121E2"/>
    <w:rsid w:val="00E3283A"/>
    <w:rsid w:val="00F16BE6"/>
    <w:rsid w:val="00F274BB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75DD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D448E-3A43-43BD-8E3B-10989523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993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6844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Hron Jaroslav Ing.</cp:lastModifiedBy>
  <cp:revision>6</cp:revision>
  <cp:lastPrinted>2021-09-21T07:58:00Z</cp:lastPrinted>
  <dcterms:created xsi:type="dcterms:W3CDTF">2022-06-13T13:30:00Z</dcterms:created>
  <dcterms:modified xsi:type="dcterms:W3CDTF">2022-06-22T07:04:00Z</dcterms:modified>
</cp:coreProperties>
</file>