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2DFA2B0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</w:p>
    <w:p w14:paraId="223B0131" w14:textId="0083C875" w:rsidR="00F005F9" w:rsidRDefault="00F005F9"/>
    <w:p w14:paraId="37D1276D" w14:textId="47DF80C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Pr="00AF2DD1" w:rsidRDefault="00F005F9" w:rsidP="009469BE">
            <w:pPr>
              <w:jc w:val="both"/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</w:pPr>
            <w:r w:rsidRPr="00AF2DD1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„Požadavky pro zachování nezbytné funkčnosti zařízení dle ČSN EN 60601-1 </w:t>
            </w:r>
            <w:proofErr w:type="spellStart"/>
            <w:r w:rsidRPr="00AF2DD1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ed</w:t>
            </w:r>
            <w:proofErr w:type="spellEnd"/>
            <w:r w:rsidRPr="00AF2DD1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. 2 2007“ </w:t>
            </w:r>
            <w:r w:rsidRPr="00AF2DD1">
              <w:rPr>
                <w:rFonts w:ascii="Calibri" w:hAnsi="Calibri" w:cs="Calibri"/>
                <w:sz w:val="22"/>
                <w:szCs w:val="22"/>
              </w:rPr>
              <w:t>uchazeč uvede veškeré požadavky pro zachování nezbytné funkčnosti zařízení.</w:t>
            </w:r>
            <w:r w:rsidRPr="00AF2DD1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</w:p>
          <w:p w14:paraId="439C66F3" w14:textId="77777777" w:rsidR="00F005F9" w:rsidRPr="00AF2DD1" w:rsidRDefault="00F005F9" w:rsidP="009469BE">
            <w:pPr>
              <w:jc w:val="both"/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</w:pPr>
            <w:r w:rsidRPr="00AF2DD1">
              <w:rPr>
                <w:rFonts w:ascii="Calibri" w:hAnsi="Calibri" w:cs="Calibri"/>
                <w:sz w:val="22"/>
                <w:szCs w:val="22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AF2DD1">
              <w:rPr>
                <w:rFonts w:ascii="Calibri" w:hAnsi="Calibri" w:cs="Calibri"/>
                <w:sz w:val="22"/>
                <w:szCs w:val="22"/>
              </w:rPr>
              <w:t>kVA</w:t>
            </w:r>
            <w:proofErr w:type="spellEnd"/>
            <w:r w:rsidRPr="00AF2DD1">
              <w:rPr>
                <w:rFonts w:ascii="Calibri" w:hAnsi="Calibri" w:cs="Calibri"/>
                <w:sz w:val="22"/>
                <w:szCs w:val="22"/>
              </w:rPr>
              <w:t xml:space="preserve"> z hlavního, záložního i nouzového zdroje napájení.</w:t>
            </w:r>
            <w:r w:rsidRPr="00AF2DD1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Pr="00AF2DD1" w:rsidRDefault="00F005F9" w:rsidP="009469BE">
            <w:pPr>
              <w:jc w:val="both"/>
              <w:rPr>
                <w:rFonts w:ascii="Calibri" w:hAnsi="Calibri" w:cs="Calibri"/>
                <w:b/>
                <w:bCs/>
                <w:i/>
                <w:iCs/>
                <w:color w:val="0070C0"/>
                <w:sz w:val="22"/>
                <w:szCs w:val="22"/>
                <w:u w:val="single"/>
              </w:rPr>
            </w:pPr>
            <w:r w:rsidRPr="00AF2DD1">
              <w:rPr>
                <w:rFonts w:ascii="Calibri" w:hAnsi="Calibri" w:cs="Calibri"/>
                <w:sz w:val="22"/>
                <w:szCs w:val="22"/>
              </w:rPr>
              <w:t>V případě požadavku na nouzový zdroj napájení (UPS)</w:t>
            </w:r>
            <w:r w:rsidRPr="00AF2DD1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  <w:r w:rsidRPr="00AF2DD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zdroj musí být součástí nabídky </w:t>
            </w:r>
            <w:r w:rsidRPr="00AF2DD1">
              <w:rPr>
                <w:rFonts w:ascii="Calibri" w:hAnsi="Calibri" w:cs="Calibri"/>
                <w:sz w:val="22"/>
                <w:szCs w:val="22"/>
              </w:rPr>
              <w:t>a v souladu s článkem 7.9.2.3 výše citované normy tento samostatný napájecí zdroj</w:t>
            </w:r>
            <w:r w:rsidRPr="00AF2DD1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  <w:r w:rsidRPr="00AF2DD1">
              <w:rPr>
                <w:rFonts w:ascii="Calibri" w:hAnsi="Calibri" w:cs="Calibri"/>
                <w:sz w:val="22"/>
                <w:szCs w:val="22"/>
              </w:rPr>
              <w:t xml:space="preserve">se </w:t>
            </w:r>
            <w:r w:rsidRPr="00AF2DD1">
              <w:rPr>
                <w:rFonts w:ascii="Calibri" w:hAnsi="Calibri" w:cs="Calibri"/>
                <w:b/>
                <w:bCs/>
                <w:sz w:val="22"/>
                <w:szCs w:val="22"/>
              </w:rPr>
              <w:t>stane součástí dodávaného ME přístroje</w:t>
            </w:r>
            <w:r w:rsidRPr="00AF2DD1">
              <w:rPr>
                <w:rFonts w:ascii="Calibri" w:hAnsi="Calibri" w:cs="Calibri"/>
                <w:sz w:val="22"/>
                <w:szCs w:val="22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AF2DD1" w:rsidRDefault="00F005F9" w:rsidP="009469B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AF2DD1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AF2DD1" w:rsidRDefault="00F005F9" w:rsidP="009469B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DD1">
              <w:rPr>
                <w:rFonts w:ascii="Calibri" w:hAnsi="Calibri" w:cs="Calibri"/>
                <w:sz w:val="22"/>
                <w:szCs w:val="22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AF2DD1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F2DD1">
              <w:rPr>
                <w:rFonts w:ascii="Calibri" w:hAnsi="Calibri" w:cs="Calibri"/>
                <w:sz w:val="22"/>
                <w:szCs w:val="22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AF2DD1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6</cp:revision>
  <dcterms:created xsi:type="dcterms:W3CDTF">2022-03-10T13:48:00Z</dcterms:created>
  <dcterms:modified xsi:type="dcterms:W3CDTF">2022-04-18T23:19:00Z</dcterms:modified>
</cp:coreProperties>
</file>