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66BE2EAB"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2F4153">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11C572AA" w14:textId="77777777" w:rsidR="0028222C" w:rsidRDefault="0028222C" w:rsidP="00EB723F">
      <w:pPr>
        <w:widowControl w:val="0"/>
        <w:suppressAutoHyphens/>
        <w:rPr>
          <w:rFonts w:asciiTheme="minorHAnsi" w:hAnsiTheme="minorHAnsi" w:cstheme="minorHAnsi"/>
          <w:sz w:val="22"/>
          <w:szCs w:val="22"/>
        </w:rPr>
      </w:pPr>
    </w:p>
    <w:p w14:paraId="2B86D0EE" w14:textId="5A17BB4D"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C96A53">
        <w:rPr>
          <w:rFonts w:ascii="Calibri" w:hAnsi="Calibri"/>
          <w:b/>
          <w:bCs/>
          <w:sz w:val="22"/>
          <w:szCs w:val="22"/>
        </w:rPr>
        <w:t>Mycí a dezinfekční automaty a sterilizátory</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w:t>
      </w:r>
      <w:r w:rsidR="00646D37" w:rsidRPr="00964F90">
        <w:rPr>
          <w:rFonts w:asciiTheme="minorHAnsi" w:hAnsiTheme="minorHAnsi"/>
          <w:sz w:val="22"/>
          <w:szCs w:val="22"/>
        </w:rPr>
        <w:lastRenderedPageBreak/>
        <w:t xml:space="preserve">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61EE86E1"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w:t>
      </w:r>
      <w:r w:rsidR="009F5116">
        <w:rPr>
          <w:rFonts w:ascii="Calibri" w:eastAsia="SimSun" w:hAnsi="Calibri"/>
          <w:kern w:val="2"/>
          <w:sz w:val="22"/>
          <w:szCs w:val="22"/>
          <w:highlight w:val="yellow"/>
          <w:lang w:eastAsia="hi-IN" w:bidi="hi-IN"/>
        </w:rPr>
        <w:t>…………………………………………</w:t>
      </w:r>
      <w:r w:rsidR="00F635CA">
        <w:rPr>
          <w:rFonts w:ascii="Calibri" w:eastAsia="SimSun" w:hAnsi="Calibri"/>
          <w:kern w:val="2"/>
          <w:sz w:val="22"/>
          <w:szCs w:val="22"/>
          <w:highlight w:val="yellow"/>
          <w:lang w:eastAsia="hi-IN" w:bidi="hi-IN"/>
        </w:rPr>
        <w:t>pro část</w:t>
      </w:r>
      <w:r w:rsidR="009F5116">
        <w:rPr>
          <w:rFonts w:ascii="Calibri" w:eastAsia="SimSun" w:hAnsi="Calibri"/>
          <w:kern w:val="2"/>
          <w:sz w:val="22"/>
          <w:szCs w:val="22"/>
          <w:highlight w:val="yellow"/>
          <w:lang w:eastAsia="hi-IN" w:bidi="hi-IN"/>
        </w:rPr>
        <w:t xml:space="preserve"> </w:t>
      </w:r>
      <w:r w:rsidR="00F635CA">
        <w:rPr>
          <w:rFonts w:ascii="Calibri" w:eastAsia="SimSun" w:hAnsi="Calibri"/>
          <w:kern w:val="2"/>
          <w:sz w:val="22"/>
          <w:szCs w:val="22"/>
          <w:highlight w:val="yellow"/>
          <w:lang w:eastAsia="hi-IN" w:bidi="hi-IN"/>
        </w:rPr>
        <w:t xml:space="preserve">č. 1 veřejné zakázky, </w:t>
      </w:r>
      <w:r w:rsidR="00F635CA" w:rsidRPr="00F635CA">
        <w:rPr>
          <w:rFonts w:ascii="Calibri" w:eastAsia="SimSun" w:hAnsi="Calibri"/>
          <w:kern w:val="2"/>
          <w:sz w:val="22"/>
          <w:szCs w:val="22"/>
          <w:highlight w:val="yellow"/>
          <w:lang w:eastAsia="hi-IN" w:bidi="hi-IN"/>
        </w:rPr>
        <w:t xml:space="preserve">název a typové označení, počet kusů </w:t>
      </w:r>
      <w:r w:rsidR="009F5116">
        <w:rPr>
          <w:rFonts w:ascii="Calibri" w:eastAsia="SimSun" w:hAnsi="Calibri"/>
          <w:kern w:val="2"/>
          <w:sz w:val="22"/>
          <w:szCs w:val="22"/>
          <w:highlight w:val="yellow"/>
          <w:lang w:eastAsia="hi-IN" w:bidi="hi-IN"/>
        </w:rPr>
        <w:t>…………………………………………</w:t>
      </w:r>
      <w:r w:rsidR="00F635CA">
        <w:rPr>
          <w:rFonts w:ascii="Calibri" w:eastAsia="SimSun" w:hAnsi="Calibri"/>
          <w:kern w:val="2"/>
          <w:sz w:val="22"/>
          <w:szCs w:val="22"/>
          <w:highlight w:val="yellow"/>
          <w:lang w:eastAsia="hi-IN" w:bidi="hi-IN"/>
        </w:rPr>
        <w:t>pro část č. 2 veřejné zakázky</w:t>
      </w:r>
      <w:r w:rsidR="00C96A53">
        <w:rPr>
          <w:rFonts w:ascii="Calibri" w:eastAsia="SimSun" w:hAnsi="Calibri"/>
          <w:kern w:val="2"/>
          <w:sz w:val="22"/>
          <w:szCs w:val="22"/>
          <w:highlight w:val="yellow"/>
          <w:lang w:eastAsia="hi-IN" w:bidi="hi-IN"/>
        </w:rPr>
        <w:t xml:space="preserve">, </w:t>
      </w:r>
      <w:r w:rsidR="00C96A53" w:rsidRPr="00F635CA">
        <w:rPr>
          <w:rFonts w:ascii="Calibri" w:eastAsia="SimSun" w:hAnsi="Calibri"/>
          <w:kern w:val="2"/>
          <w:sz w:val="22"/>
          <w:szCs w:val="22"/>
          <w:highlight w:val="yellow"/>
          <w:lang w:eastAsia="hi-IN" w:bidi="hi-IN"/>
        </w:rPr>
        <w:t xml:space="preserve">název a typové označení, počet kusů </w:t>
      </w:r>
      <w:r w:rsidR="00C96A53">
        <w:rPr>
          <w:rFonts w:ascii="Calibri" w:eastAsia="SimSun" w:hAnsi="Calibri"/>
          <w:kern w:val="2"/>
          <w:sz w:val="22"/>
          <w:szCs w:val="22"/>
          <w:highlight w:val="yellow"/>
          <w:lang w:eastAsia="hi-IN" w:bidi="hi-IN"/>
        </w:rPr>
        <w:t xml:space="preserve">…………………………………………pro část č. 3 veřejné zakázky, </w:t>
      </w:r>
      <w:r w:rsidR="00C96A53" w:rsidRPr="00F635CA">
        <w:rPr>
          <w:rFonts w:ascii="Calibri" w:eastAsia="SimSun" w:hAnsi="Calibri"/>
          <w:kern w:val="2"/>
          <w:sz w:val="22"/>
          <w:szCs w:val="22"/>
          <w:highlight w:val="yellow"/>
          <w:lang w:eastAsia="hi-IN" w:bidi="hi-IN"/>
        </w:rPr>
        <w:t xml:space="preserve">název a typové označení, počet kusů </w:t>
      </w:r>
      <w:r w:rsidR="00C96A53">
        <w:rPr>
          <w:rFonts w:ascii="Calibri" w:eastAsia="SimSun" w:hAnsi="Calibri"/>
          <w:kern w:val="2"/>
          <w:sz w:val="22"/>
          <w:szCs w:val="22"/>
          <w:highlight w:val="yellow"/>
          <w:lang w:eastAsia="hi-IN" w:bidi="hi-IN"/>
        </w:rPr>
        <w:t>…………………………………………pro část č. 4 veřejné zakázky</w:t>
      </w:r>
      <w:r w:rsidR="009F5116">
        <w:rPr>
          <w:rFonts w:ascii="Calibri" w:eastAsia="SimSun" w:hAnsi="Calibri"/>
          <w:kern w:val="2"/>
          <w:sz w:val="22"/>
          <w:szCs w:val="22"/>
          <w:highlight w:val="yellow"/>
          <w:lang w:eastAsia="hi-IN" w:bidi="hi-IN"/>
        </w:rPr>
        <w:t xml:space="preserve"> </w:t>
      </w:r>
      <w:r w:rsidR="00B76C5E">
        <w:rPr>
          <w:rFonts w:ascii="Calibri" w:eastAsia="SimSun" w:hAnsi="Calibri"/>
          <w:kern w:val="2"/>
          <w:sz w:val="22"/>
          <w:szCs w:val="22"/>
          <w:highlight w:val="yellow"/>
          <w:lang w:eastAsia="hi-IN" w:bidi="hi-IN"/>
        </w:rPr>
        <w:t xml:space="preserve">-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příslušenství, </w:t>
      </w:r>
      <w:r w:rsidR="00DD5CB6" w:rsidRPr="00DD5CB6">
        <w:rPr>
          <w:rFonts w:ascii="Calibri" w:hAnsi="Calibri" w:cs="Calibri"/>
          <w:sz w:val="22"/>
          <w:szCs w:val="22"/>
        </w:rPr>
        <w:t xml:space="preserve"> </w:t>
      </w:r>
      <w:r w:rsidR="00DD5CB6">
        <w:rPr>
          <w:rFonts w:ascii="Calibri" w:hAnsi="Calibri" w:cs="Calibri"/>
          <w:sz w:val="22"/>
          <w:szCs w:val="22"/>
        </w:rPr>
        <w:t>jehož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w:t>
      </w:r>
      <w:r w:rsidR="006A36A9" w:rsidRPr="007D4423">
        <w:rPr>
          <w:rFonts w:ascii="Calibri" w:eastAsia="SimSun" w:hAnsi="Calibri" w:cs="Calibri"/>
          <w:kern w:val="1"/>
          <w:sz w:val="22"/>
          <w:szCs w:val="22"/>
          <w:lang w:eastAsia="hi-IN" w:bidi="hi-IN"/>
        </w:rPr>
        <w:lastRenderedPageBreak/>
        <w:t>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BCC7DD4" w14:textId="77777777" w:rsidR="00C96A53" w:rsidRPr="00C15BD2" w:rsidRDefault="00C96A53" w:rsidP="00C15BD2">
      <w:pPr>
        <w:pStyle w:val="Odstavecseseznamem"/>
        <w:numPr>
          <w:ilvl w:val="0"/>
          <w:numId w:val="40"/>
        </w:numPr>
        <w:spacing w:line="276" w:lineRule="auto"/>
        <w:rPr>
          <w:rFonts w:ascii="Calibri" w:eastAsia="Calibri" w:hAnsi="Calibri" w:cs="Calibri"/>
          <w:b/>
          <w:bCs/>
          <w:sz w:val="22"/>
          <w:szCs w:val="22"/>
          <w:lang w:eastAsia="en-US"/>
        </w:rPr>
      </w:pPr>
      <w:bookmarkStart w:id="2" w:name="_Hlk85374292"/>
      <w:r w:rsidRPr="00C15BD2">
        <w:rPr>
          <w:rFonts w:ascii="Calibri" w:eastAsia="Calibri" w:hAnsi="Calibri" w:cs="Calibri"/>
          <w:b/>
          <w:bCs/>
          <w:sz w:val="22"/>
          <w:szCs w:val="22"/>
          <w:lang w:eastAsia="en-US"/>
        </w:rPr>
        <w:t>Pardubická nemocnice, Kyjevská 44, 532 03 Pardubice</w:t>
      </w:r>
      <w:bookmarkEnd w:id="2"/>
    </w:p>
    <w:p w14:paraId="07634078" w14:textId="77777777" w:rsidR="008B09C7" w:rsidRDefault="00271E15" w:rsidP="008B09C7">
      <w:pPr>
        <w:pStyle w:val="PODKAPITOLA"/>
        <w:widowControl w:val="0"/>
        <w:tabs>
          <w:tab w:val="left" w:pos="426"/>
        </w:tabs>
        <w:suppressAutoHyphens/>
        <w:spacing w:before="120" w:after="60"/>
        <w:ind w:left="705" w:hanging="420"/>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2.</w:t>
      </w:r>
      <w:r>
        <w:rPr>
          <w:rFonts w:ascii="Calibri" w:eastAsia="SimSun" w:hAnsi="Calibri" w:cs="Calibri"/>
          <w:b w:val="0"/>
          <w:bCs w:val="0"/>
          <w:kern w:val="1"/>
          <w:sz w:val="22"/>
          <w:szCs w:val="22"/>
          <w:lang w:eastAsia="hi-IN" w:bidi="hi-IN"/>
        </w:rPr>
        <w:tab/>
      </w:r>
      <w:r w:rsidRPr="00271E15">
        <w:rPr>
          <w:rFonts w:ascii="Calibri" w:eastAsia="SimSun" w:hAnsi="Calibri" w:cs="Calibri"/>
          <w:b w:val="0"/>
          <w:bCs w:val="0"/>
          <w:kern w:val="1"/>
          <w:sz w:val="22"/>
          <w:szCs w:val="22"/>
          <w:lang w:eastAsia="hi-IN" w:bidi="hi-IN"/>
        </w:rPr>
        <w:t>Zboží bude dodáno do místa plnění na výzvu kupujícího.</w:t>
      </w:r>
      <w:r w:rsidR="00375C8B">
        <w:rPr>
          <w:rFonts w:ascii="Calibri" w:eastAsia="SimSun" w:hAnsi="Calibri" w:cs="Calibri"/>
          <w:b w:val="0"/>
          <w:bCs w:val="0"/>
          <w:kern w:val="1"/>
          <w:sz w:val="22"/>
          <w:szCs w:val="22"/>
          <w:lang w:eastAsia="hi-IN" w:bidi="hi-IN"/>
        </w:rPr>
        <w:t xml:space="preserve"> </w:t>
      </w:r>
      <w:r w:rsidR="00375C8B" w:rsidRPr="000026C3">
        <w:rPr>
          <w:rFonts w:ascii="Calibri" w:eastAsia="SimSun" w:hAnsi="Calibri" w:cs="Calibri"/>
          <w:b w:val="0"/>
          <w:bCs w:val="0"/>
          <w:kern w:val="1"/>
          <w:sz w:val="22"/>
          <w:szCs w:val="22"/>
          <w:lang w:eastAsia="hi-IN" w:bidi="hi-IN"/>
        </w:rPr>
        <w:t>Písemná výzva bude kupujícím zaslána prodávajícímu elektronickou poštou na e-mail prodávajícího uvedený v záhlaví této smlouvy.</w:t>
      </w:r>
    </w:p>
    <w:p w14:paraId="4BB06D35" w14:textId="275AA2AD" w:rsidR="00375C8B" w:rsidRDefault="008B09C7" w:rsidP="008B09C7">
      <w:pPr>
        <w:pStyle w:val="PODKAPITOLA"/>
        <w:widowControl w:val="0"/>
        <w:tabs>
          <w:tab w:val="left" w:pos="426"/>
        </w:tabs>
        <w:suppressAutoHyphens/>
        <w:spacing w:before="120" w:after="60"/>
        <w:ind w:left="705" w:hanging="420"/>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 xml:space="preserve">3. </w:t>
      </w:r>
      <w:r>
        <w:rPr>
          <w:rFonts w:ascii="Calibri" w:eastAsia="SimSun" w:hAnsi="Calibri" w:cs="Calibri"/>
          <w:b w:val="0"/>
          <w:bCs w:val="0"/>
          <w:kern w:val="1"/>
          <w:sz w:val="22"/>
          <w:szCs w:val="22"/>
          <w:lang w:eastAsia="hi-IN" w:bidi="hi-IN"/>
        </w:rPr>
        <w:tab/>
      </w:r>
      <w:r w:rsidR="00375C8B" w:rsidRPr="000026C3">
        <w:rPr>
          <w:rFonts w:ascii="Calibri" w:eastAsia="SimSun" w:hAnsi="Calibri" w:cs="Calibri"/>
          <w:b w:val="0"/>
          <w:bCs w:val="0"/>
          <w:kern w:val="1"/>
          <w:sz w:val="22"/>
          <w:szCs w:val="22"/>
          <w:lang w:eastAsia="hi-IN" w:bidi="hi-IN"/>
        </w:rPr>
        <w:t xml:space="preserve">Prodávající se zavazuje odevzdat </w:t>
      </w:r>
      <w:r w:rsidR="00375C8B">
        <w:rPr>
          <w:rFonts w:ascii="Calibri" w:eastAsia="SimSun" w:hAnsi="Calibri" w:cs="Calibri"/>
          <w:b w:val="0"/>
          <w:bCs w:val="0"/>
          <w:kern w:val="1"/>
          <w:sz w:val="22"/>
          <w:szCs w:val="22"/>
          <w:lang w:eastAsia="hi-IN" w:bidi="hi-IN"/>
        </w:rPr>
        <w:t>zboží</w:t>
      </w:r>
      <w:r w:rsidR="00375C8B" w:rsidRPr="000026C3">
        <w:rPr>
          <w:rFonts w:ascii="Calibri" w:eastAsia="SimSun" w:hAnsi="Calibri" w:cs="Calibri"/>
          <w:b w:val="0"/>
          <w:bCs w:val="0"/>
          <w:kern w:val="1"/>
          <w:sz w:val="22"/>
          <w:szCs w:val="22"/>
          <w:lang w:eastAsia="hi-IN" w:bidi="hi-IN"/>
        </w:rPr>
        <w:t xml:space="preserve"> dle podmínek sjednaných v této smlouvě nejpozději do </w:t>
      </w:r>
      <w:r w:rsidR="00375C8B">
        <w:rPr>
          <w:rFonts w:ascii="Calibri" w:eastAsia="SimSun" w:hAnsi="Calibri" w:cs="Calibri"/>
          <w:b w:val="0"/>
          <w:bCs w:val="0"/>
          <w:kern w:val="1"/>
          <w:sz w:val="22"/>
          <w:szCs w:val="22"/>
          <w:lang w:eastAsia="hi-IN" w:bidi="hi-IN"/>
        </w:rPr>
        <w:t>12</w:t>
      </w:r>
      <w:r w:rsidR="00375C8B" w:rsidRPr="000026C3">
        <w:rPr>
          <w:rFonts w:ascii="Calibri" w:eastAsia="SimSun" w:hAnsi="Calibri" w:cs="Calibri"/>
          <w:b w:val="0"/>
          <w:bCs w:val="0"/>
          <w:kern w:val="1"/>
          <w:sz w:val="22"/>
          <w:szCs w:val="22"/>
          <w:lang w:eastAsia="hi-IN" w:bidi="hi-IN"/>
        </w:rPr>
        <w:t xml:space="preserve"> týdnů ode dne výzvy kupujícího k zahájení plnění, která může nastat nejprve po účinnosti této smlouvy.</w:t>
      </w:r>
    </w:p>
    <w:p w14:paraId="60463B6B" w14:textId="212E4A37" w:rsidR="00AD5A13" w:rsidRPr="00A67554" w:rsidRDefault="00AD5A13" w:rsidP="00375C8B">
      <w:pPr>
        <w:pStyle w:val="PODKAPITOLA"/>
        <w:widowControl w:val="0"/>
        <w:tabs>
          <w:tab w:val="left" w:pos="426"/>
        </w:tabs>
        <w:suppressAutoHyphens/>
        <w:spacing w:before="120" w:after="60"/>
        <w:ind w:left="705" w:hanging="420"/>
        <w:jc w:val="both"/>
        <w:rPr>
          <w:rFonts w:ascii="Calibri" w:eastAsia="SimSun" w:hAnsi="Calibri" w:cs="Calibri"/>
          <w:b w:val="0"/>
          <w:bCs w:val="0"/>
          <w:kern w:val="1"/>
          <w:sz w:val="22"/>
          <w:szCs w:val="22"/>
          <w:lang w:eastAsia="hi-IN" w:bidi="hi-IN"/>
        </w:rPr>
      </w:pPr>
      <w:r w:rsidRPr="00AD5A13">
        <w:rPr>
          <w:rFonts w:ascii="Calibri" w:eastAsia="SimSun" w:hAnsi="Calibri" w:cs="Calibri"/>
          <w:b w:val="0"/>
          <w:bCs w:val="0"/>
          <w:kern w:val="1"/>
          <w:sz w:val="22"/>
          <w:szCs w:val="22"/>
          <w:lang w:eastAsia="hi-IN" w:bidi="hi-IN"/>
        </w:rPr>
        <w:t>4.</w:t>
      </w:r>
      <w:r w:rsidRPr="00AD5A13">
        <w:rPr>
          <w:rFonts w:ascii="Calibri" w:eastAsia="SimSun" w:hAnsi="Calibri" w:cs="Calibri"/>
          <w:b w:val="0"/>
          <w:bCs w:val="0"/>
          <w:kern w:val="1"/>
          <w:sz w:val="22"/>
          <w:szCs w:val="22"/>
          <w:lang w:eastAsia="hi-IN" w:bidi="hi-IN"/>
        </w:rPr>
        <w:tab/>
      </w:r>
      <w:r w:rsidRPr="00AD5A13">
        <w:rPr>
          <w:rFonts w:ascii="Calibri" w:eastAsia="SimSun" w:hAnsi="Calibri" w:cs="Calibri"/>
          <w:b w:val="0"/>
          <w:bCs w:val="0"/>
          <w:kern w:val="1"/>
          <w:sz w:val="22"/>
          <w:szCs w:val="22"/>
          <w:lang w:eastAsia="hi-IN" w:bidi="hi-IN"/>
        </w:rPr>
        <w:tab/>
      </w:r>
      <w:r w:rsidR="00375C8B" w:rsidRPr="00C15BD2">
        <w:rPr>
          <w:rFonts w:ascii="Calibri" w:eastAsia="SimSun" w:hAnsi="Calibri" w:cs="Calibri"/>
          <w:b w:val="0"/>
          <w:bCs w:val="0"/>
          <w:kern w:val="1"/>
          <w:sz w:val="22"/>
          <w:szCs w:val="22"/>
          <w:lang w:eastAsia="hi-IN" w:bidi="hi-IN"/>
        </w:rPr>
        <w:t>Kupující si vyhrazuje zasílat výzvu či výzvy k zahájení plnění dle svých provozních potřeb, a to i případně na jednotlivé přístroje dle této smlouvy samostatně. Předpokládaná doba dodání je 2. polovina roku 2023. Předpokládaná doba instalace je</w:t>
      </w:r>
      <w:r w:rsidR="00E74A6B">
        <w:rPr>
          <w:rFonts w:ascii="Calibri" w:eastAsia="SimSun" w:hAnsi="Calibri" w:cs="Calibri"/>
          <w:b w:val="0"/>
          <w:bCs w:val="0"/>
          <w:kern w:val="1"/>
          <w:sz w:val="22"/>
          <w:szCs w:val="22"/>
          <w:lang w:eastAsia="hi-IN" w:bidi="hi-IN"/>
        </w:rPr>
        <w:t xml:space="preserve"> </w:t>
      </w:r>
      <w:r w:rsidR="00E74A6B" w:rsidRPr="00E74A6B">
        <w:rPr>
          <w:rFonts w:ascii="Calibri" w:eastAsia="SimSun" w:hAnsi="Calibri" w:cs="Calibri"/>
          <w:b w:val="0"/>
          <w:bCs w:val="0"/>
          <w:kern w:val="1"/>
          <w:sz w:val="22"/>
          <w:szCs w:val="22"/>
          <w:highlight w:val="yellow"/>
          <w:lang w:eastAsia="hi-IN" w:bidi="hi-IN"/>
        </w:rPr>
        <w:t>…………………………</w:t>
      </w:r>
      <w:r w:rsidR="00375C8B" w:rsidRPr="00C15BD2">
        <w:rPr>
          <w:rFonts w:ascii="Calibri" w:eastAsia="SimSun" w:hAnsi="Calibri" w:cs="Calibri"/>
          <w:b w:val="0"/>
          <w:bCs w:val="0"/>
          <w:kern w:val="1"/>
          <w:sz w:val="22"/>
          <w:szCs w:val="22"/>
          <w:lang w:eastAsia="hi-IN" w:bidi="hi-IN"/>
        </w:rPr>
        <w:t xml:space="preserve"> </w:t>
      </w:r>
      <w:r w:rsidR="00E74A6B">
        <w:rPr>
          <w:rFonts w:ascii="Calibri" w:eastAsia="SimSun" w:hAnsi="Calibri" w:cs="Calibri"/>
          <w:b w:val="0"/>
          <w:bCs w:val="0"/>
          <w:kern w:val="1"/>
          <w:sz w:val="22"/>
          <w:szCs w:val="22"/>
          <w:lang w:eastAsia="hi-IN" w:bidi="hi-IN"/>
        </w:rPr>
        <w:t>(</w:t>
      </w:r>
      <w:r w:rsidR="00E74A6B" w:rsidRPr="00E74A6B">
        <w:rPr>
          <w:rFonts w:ascii="Calibri" w:eastAsia="SimSun" w:hAnsi="Calibri"/>
          <w:b w:val="0"/>
          <w:bCs w:val="0"/>
          <w:kern w:val="2"/>
          <w:sz w:val="22"/>
          <w:szCs w:val="22"/>
          <w:highlight w:val="yellow"/>
          <w:lang w:eastAsia="hi-IN" w:bidi="hi-IN"/>
        </w:rPr>
        <w:t xml:space="preserve">2 týdny pro 1. část; 4 týdny pro 2. část, 4 týdny pro 3. část, 4 týdny pro 4. </w:t>
      </w:r>
      <w:proofErr w:type="gramStart"/>
      <w:r w:rsidR="00E74A6B" w:rsidRPr="00E74A6B">
        <w:rPr>
          <w:rFonts w:ascii="Calibri" w:eastAsia="SimSun" w:hAnsi="Calibri"/>
          <w:b w:val="0"/>
          <w:bCs w:val="0"/>
          <w:kern w:val="2"/>
          <w:sz w:val="22"/>
          <w:szCs w:val="22"/>
          <w:highlight w:val="yellow"/>
          <w:lang w:eastAsia="hi-IN" w:bidi="hi-IN"/>
        </w:rPr>
        <w:t>část</w:t>
      </w:r>
      <w:r w:rsidR="00E74A6B">
        <w:rPr>
          <w:rFonts w:ascii="Calibri" w:eastAsia="SimSun" w:hAnsi="Calibri"/>
          <w:kern w:val="2"/>
          <w:sz w:val="22"/>
          <w:szCs w:val="22"/>
          <w:highlight w:val="yellow"/>
          <w:lang w:eastAsia="hi-IN" w:bidi="hi-IN"/>
        </w:rPr>
        <w:t xml:space="preserve"> - </w:t>
      </w:r>
      <w:r w:rsidR="00E74A6B" w:rsidRPr="00E379B2">
        <w:rPr>
          <w:rFonts w:ascii="Calibri" w:eastAsia="SimSun" w:hAnsi="Calibri"/>
          <w:i/>
          <w:iCs/>
          <w:kern w:val="2"/>
          <w:sz w:val="22"/>
          <w:szCs w:val="22"/>
          <w:highlight w:val="yellow"/>
          <w:lang w:eastAsia="hi-IN" w:bidi="hi-IN"/>
        </w:rPr>
        <w:t>doplní</w:t>
      </w:r>
      <w:proofErr w:type="gramEnd"/>
      <w:r w:rsidR="00E74A6B" w:rsidRPr="00E379B2">
        <w:rPr>
          <w:rFonts w:ascii="Calibri" w:eastAsia="SimSun" w:hAnsi="Calibri"/>
          <w:i/>
          <w:iCs/>
          <w:kern w:val="2"/>
          <w:sz w:val="22"/>
          <w:szCs w:val="22"/>
          <w:highlight w:val="yellow"/>
          <w:lang w:eastAsia="hi-IN" w:bidi="hi-IN"/>
        </w:rPr>
        <w:t xml:space="preserve"> dodavatel</w:t>
      </w:r>
      <w:r w:rsidR="00E74A6B">
        <w:rPr>
          <w:rFonts w:ascii="Calibri" w:eastAsia="SimSun" w:hAnsi="Calibri" w:cs="Calibri"/>
          <w:b w:val="0"/>
          <w:bCs w:val="0"/>
          <w:kern w:val="1"/>
          <w:sz w:val="22"/>
          <w:szCs w:val="22"/>
          <w:lang w:eastAsia="hi-IN" w:bidi="hi-IN"/>
        </w:rPr>
        <w:t>)</w:t>
      </w:r>
      <w:r w:rsidR="00375C8B" w:rsidRPr="00C15BD2">
        <w:rPr>
          <w:rFonts w:ascii="Calibri" w:eastAsia="SimSun" w:hAnsi="Calibri" w:cs="Calibri"/>
          <w:b w:val="0"/>
          <w:bCs w:val="0"/>
          <w:kern w:val="1"/>
          <w:sz w:val="22"/>
          <w:szCs w:val="22"/>
          <w:lang w:eastAsia="hi-IN" w:bidi="hi-IN"/>
        </w:rPr>
        <w:t>.</w:t>
      </w:r>
    </w:p>
    <w:p w14:paraId="017F0875" w14:textId="030B47F9" w:rsidR="0028222C" w:rsidRDefault="004B54F9" w:rsidP="00375C8B">
      <w:pPr>
        <w:pStyle w:val="PODKAPITOLA"/>
        <w:widowControl w:val="0"/>
        <w:tabs>
          <w:tab w:val="left" w:pos="426"/>
        </w:tabs>
        <w:suppressAutoHyphens/>
        <w:spacing w:before="120" w:after="60"/>
        <w:ind w:left="705" w:hanging="420"/>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5</w:t>
      </w:r>
      <w:r w:rsidR="00271E15" w:rsidRPr="00271E15">
        <w:rPr>
          <w:rFonts w:ascii="Calibri" w:eastAsia="SimSun" w:hAnsi="Calibri" w:cs="Calibri"/>
          <w:b w:val="0"/>
          <w:bCs w:val="0"/>
          <w:kern w:val="1"/>
          <w:sz w:val="22"/>
          <w:szCs w:val="22"/>
          <w:lang w:eastAsia="hi-IN" w:bidi="hi-IN"/>
        </w:rPr>
        <w:t xml:space="preserve">. </w:t>
      </w:r>
      <w:r w:rsidR="00271E15" w:rsidRPr="00271E15">
        <w:rPr>
          <w:rFonts w:ascii="Calibri" w:eastAsia="SimSun" w:hAnsi="Calibri" w:cs="Calibri"/>
          <w:b w:val="0"/>
          <w:bCs w:val="0"/>
          <w:kern w:val="1"/>
          <w:sz w:val="22"/>
          <w:szCs w:val="22"/>
          <w:lang w:eastAsia="hi-IN" w:bidi="hi-IN"/>
        </w:rPr>
        <w:tab/>
        <w:t>Prodávající bude informovat kupujícího o přesném termínu dodávky zboží, a to nejpozději 5 dnů před realizací dodávky. Kontaktní osoba je uvedena v čl. V. odst. 3 této smlouvy.</w:t>
      </w:r>
    </w:p>
    <w:p w14:paraId="62D4D214" w14:textId="77777777" w:rsidR="00375C8B" w:rsidRPr="00375C8B" w:rsidRDefault="00375C8B" w:rsidP="00375C8B">
      <w:pPr>
        <w:pStyle w:val="PODKAPITOLA"/>
        <w:widowControl w:val="0"/>
        <w:tabs>
          <w:tab w:val="left" w:pos="426"/>
        </w:tabs>
        <w:suppressAutoHyphens/>
        <w:spacing w:before="120" w:after="60"/>
        <w:ind w:left="705" w:hanging="42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4C207342" w:rsidR="006A36A9" w:rsidRPr="00A67554"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2514B886" w:rsidR="00C777AE" w:rsidRPr="00C777AE" w:rsidRDefault="00375C8B"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této smlouvy. Protokolární </w:t>
      </w:r>
      <w:r w:rsidRPr="007D4423">
        <w:rPr>
          <w:rFonts w:ascii="Calibri" w:eastAsia="SimSun" w:hAnsi="Calibri" w:cs="Calibri"/>
          <w:kern w:val="1"/>
          <w:sz w:val="22"/>
          <w:szCs w:val="22"/>
          <w:lang w:eastAsia="hi-IN" w:bidi="hi-IN"/>
        </w:rPr>
        <w:lastRenderedPageBreak/>
        <w:t>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DF73774"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kupující</w:t>
      </w:r>
      <w:r w:rsidR="008B09C7">
        <w:rPr>
          <w:rFonts w:ascii="Calibri" w:eastAsia="SimSun" w:hAnsi="Calibri" w:cs="Calibri"/>
          <w:kern w:val="1"/>
          <w:sz w:val="22"/>
          <w:szCs w:val="22"/>
          <w:lang w:eastAsia="hi-IN" w:bidi="hi-IN"/>
        </w:rPr>
        <w:t xml:space="preserve"> oprávněn požadovat na objednateli</w:t>
      </w:r>
      <w:r w:rsidRPr="007D4423">
        <w:rPr>
          <w:rFonts w:ascii="Calibri" w:eastAsia="SimSun" w:hAnsi="Calibri" w:cs="Calibri"/>
          <w:kern w:val="1"/>
          <w:sz w:val="22"/>
          <w:szCs w:val="22"/>
          <w:lang w:eastAsia="hi-IN" w:bidi="hi-IN"/>
        </w:rPr>
        <w:t xml:space="preserve">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C03A81D"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B09C7">
        <w:rPr>
          <w:rFonts w:ascii="Calibri" w:eastAsia="SimSun" w:hAnsi="Calibri" w:cs="Calibri"/>
          <w:kern w:val="1"/>
          <w:sz w:val="22"/>
          <w:szCs w:val="22"/>
          <w:lang w:eastAsia="hi-IN" w:bidi="hi-IN"/>
        </w:rPr>
        <w:t xml:space="preserve">i jen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1F0BC153"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 xml:space="preserve">0,01 % za každý </w:t>
      </w:r>
      <w:r w:rsidR="008B09C7">
        <w:rPr>
          <w:rFonts w:ascii="Calibri" w:eastAsia="SimSun" w:hAnsi="Calibri" w:cs="Calibri"/>
          <w:kern w:val="1"/>
          <w:sz w:val="22"/>
          <w:szCs w:val="22"/>
          <w:lang w:eastAsia="hi-IN" w:bidi="hi-IN"/>
        </w:rPr>
        <w:t xml:space="preserve">i jen započatý </w:t>
      </w:r>
      <w:r w:rsidR="000A0FF3" w:rsidRPr="007D4423">
        <w:rPr>
          <w:rFonts w:ascii="Calibri" w:eastAsia="SimSun" w:hAnsi="Calibri" w:cs="Calibri"/>
          <w:kern w:val="1"/>
          <w:sz w:val="22"/>
          <w:szCs w:val="22"/>
          <w:lang w:eastAsia="hi-IN" w:bidi="hi-IN"/>
        </w:rPr>
        <w:t>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AD0F0B1"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98410F">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xml:space="preserve"> Pokud je v českých právních předpisech stanovena lhůta delší, musí ji dodavatel použít.</w:t>
      </w:r>
    </w:p>
    <w:p w14:paraId="0FBA3489" w14:textId="39394FFB"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98410F">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5" w:name="_Hlk20150622"/>
    </w:p>
    <w:p w14:paraId="243E3C2D" w14:textId="26F7BECE"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095F9B50" w14:textId="7ED9ABEB" w:rsidR="00375C8B" w:rsidRDefault="00375C8B"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7FA555AC" w14:textId="04D498B4" w:rsidR="00133CBE" w:rsidRDefault="00133CBE"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6AF2F68C" w14:textId="05E94BCE" w:rsidR="00133CBE" w:rsidRDefault="00133CBE"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620DC386" w14:textId="4512D388" w:rsidR="00133CBE" w:rsidRDefault="00133CBE"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7E49D8CD" w14:textId="720F2CDA" w:rsidR="00133CBE" w:rsidRDefault="00133CBE"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4B38951D" w14:textId="77777777" w:rsidR="00133CBE" w:rsidRDefault="00133CBE"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3406BF50" w14:textId="13555966" w:rsidR="00375C8B" w:rsidRDefault="00375C8B"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4C535101" w14:textId="77777777" w:rsidR="008B09C7" w:rsidRDefault="008B09C7"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78C97EC4" w14:textId="77777777" w:rsidR="00375C8B" w:rsidRDefault="00375C8B"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EB80550" w14:textId="77777777" w:rsidR="00375C8B" w:rsidRDefault="00375C8B" w:rsidP="007102D5">
      <w:pPr>
        <w:widowControl w:val="0"/>
        <w:suppressAutoHyphens/>
        <w:spacing w:after="60" w:line="240" w:lineRule="atLeast"/>
        <w:rPr>
          <w:rFonts w:asciiTheme="minorHAnsi" w:hAnsiTheme="minorHAnsi" w:cstheme="minorHAnsi"/>
          <w:b/>
        </w:rPr>
      </w:pPr>
    </w:p>
    <w:p w14:paraId="1AB85CFA" w14:textId="77777777" w:rsidR="00375C8B" w:rsidRDefault="00375C8B" w:rsidP="007102D5">
      <w:pPr>
        <w:widowControl w:val="0"/>
        <w:suppressAutoHyphens/>
        <w:spacing w:after="60" w:line="240" w:lineRule="atLeast"/>
        <w:rPr>
          <w:rFonts w:asciiTheme="minorHAnsi" w:hAnsiTheme="minorHAnsi" w:cstheme="minorHAnsi"/>
          <w:b/>
        </w:rPr>
      </w:pPr>
    </w:p>
    <w:p w14:paraId="2B75B98C" w14:textId="77777777" w:rsidR="00375C8B" w:rsidRDefault="00375C8B" w:rsidP="007102D5">
      <w:pPr>
        <w:widowControl w:val="0"/>
        <w:suppressAutoHyphens/>
        <w:spacing w:after="60" w:line="240" w:lineRule="atLeast"/>
        <w:rPr>
          <w:rFonts w:asciiTheme="minorHAnsi" w:hAnsiTheme="minorHAnsi" w:cstheme="minorHAnsi"/>
          <w:b/>
        </w:rPr>
      </w:pPr>
    </w:p>
    <w:p w14:paraId="09B0E370" w14:textId="77777777" w:rsidR="00375C8B" w:rsidRDefault="00375C8B" w:rsidP="007102D5">
      <w:pPr>
        <w:widowControl w:val="0"/>
        <w:suppressAutoHyphens/>
        <w:spacing w:after="60" w:line="240" w:lineRule="atLeast"/>
        <w:rPr>
          <w:rFonts w:asciiTheme="minorHAnsi" w:hAnsiTheme="minorHAnsi" w:cstheme="minorHAnsi"/>
          <w:b/>
        </w:rPr>
      </w:pPr>
    </w:p>
    <w:p w14:paraId="67C3EBBE" w14:textId="77777777" w:rsidR="00375C8B" w:rsidRDefault="00375C8B" w:rsidP="007102D5">
      <w:pPr>
        <w:widowControl w:val="0"/>
        <w:suppressAutoHyphens/>
        <w:spacing w:after="60" w:line="240" w:lineRule="atLeast"/>
        <w:rPr>
          <w:rFonts w:asciiTheme="minorHAnsi" w:hAnsiTheme="minorHAnsi" w:cstheme="minorHAnsi"/>
          <w:b/>
        </w:rPr>
      </w:pPr>
    </w:p>
    <w:p w14:paraId="12DC6157" w14:textId="77777777" w:rsidR="00375C8B" w:rsidRDefault="00375C8B" w:rsidP="007102D5">
      <w:pPr>
        <w:widowControl w:val="0"/>
        <w:suppressAutoHyphens/>
        <w:spacing w:after="60" w:line="240" w:lineRule="atLeast"/>
        <w:rPr>
          <w:rFonts w:asciiTheme="minorHAnsi" w:hAnsiTheme="minorHAnsi" w:cstheme="minorHAnsi"/>
          <w:b/>
        </w:rPr>
      </w:pPr>
    </w:p>
    <w:p w14:paraId="29CBCA65" w14:textId="77777777" w:rsidR="00375C8B" w:rsidRDefault="00375C8B" w:rsidP="007102D5">
      <w:pPr>
        <w:widowControl w:val="0"/>
        <w:suppressAutoHyphens/>
        <w:spacing w:after="60" w:line="240" w:lineRule="atLeast"/>
        <w:rPr>
          <w:rFonts w:asciiTheme="minorHAnsi" w:hAnsiTheme="minorHAnsi" w:cstheme="minorHAnsi"/>
          <w:b/>
        </w:rPr>
      </w:pPr>
    </w:p>
    <w:p w14:paraId="12E66679" w14:textId="77777777" w:rsidR="00375C8B" w:rsidRDefault="00375C8B" w:rsidP="007102D5">
      <w:pPr>
        <w:widowControl w:val="0"/>
        <w:suppressAutoHyphens/>
        <w:spacing w:after="60" w:line="240" w:lineRule="atLeast"/>
        <w:rPr>
          <w:rFonts w:asciiTheme="minorHAnsi" w:hAnsiTheme="minorHAnsi" w:cstheme="minorHAnsi"/>
          <w:b/>
        </w:rPr>
      </w:pPr>
    </w:p>
    <w:p w14:paraId="171F5D17" w14:textId="77777777" w:rsidR="00375C8B" w:rsidRDefault="00375C8B" w:rsidP="007102D5">
      <w:pPr>
        <w:widowControl w:val="0"/>
        <w:suppressAutoHyphens/>
        <w:spacing w:after="60" w:line="240" w:lineRule="atLeast"/>
        <w:rPr>
          <w:rFonts w:asciiTheme="minorHAnsi" w:hAnsiTheme="minorHAnsi" w:cstheme="minorHAnsi"/>
          <w:b/>
        </w:rPr>
      </w:pPr>
    </w:p>
    <w:p w14:paraId="06F99CC1" w14:textId="77777777" w:rsidR="00375C8B" w:rsidRDefault="00375C8B" w:rsidP="007102D5">
      <w:pPr>
        <w:widowControl w:val="0"/>
        <w:suppressAutoHyphens/>
        <w:spacing w:after="60" w:line="240" w:lineRule="atLeast"/>
        <w:rPr>
          <w:rFonts w:asciiTheme="minorHAnsi" w:hAnsiTheme="minorHAnsi" w:cstheme="minorHAnsi"/>
          <w:b/>
        </w:rPr>
      </w:pPr>
    </w:p>
    <w:p w14:paraId="4D45CE8D" w14:textId="77777777" w:rsidR="00375C8B" w:rsidRDefault="00375C8B" w:rsidP="007102D5">
      <w:pPr>
        <w:widowControl w:val="0"/>
        <w:suppressAutoHyphens/>
        <w:spacing w:after="60" w:line="240" w:lineRule="atLeast"/>
        <w:rPr>
          <w:rFonts w:asciiTheme="minorHAnsi" w:hAnsiTheme="minorHAnsi" w:cstheme="minorHAnsi"/>
          <w:b/>
        </w:rPr>
      </w:pPr>
    </w:p>
    <w:p w14:paraId="6B87E236" w14:textId="77777777" w:rsidR="00375C8B" w:rsidRDefault="00375C8B" w:rsidP="007102D5">
      <w:pPr>
        <w:widowControl w:val="0"/>
        <w:suppressAutoHyphens/>
        <w:spacing w:after="60" w:line="240" w:lineRule="atLeast"/>
        <w:rPr>
          <w:rFonts w:asciiTheme="minorHAnsi" w:hAnsiTheme="minorHAnsi" w:cstheme="minorHAnsi"/>
          <w:b/>
        </w:rPr>
      </w:pPr>
    </w:p>
    <w:p w14:paraId="6E09D6CB" w14:textId="77777777" w:rsidR="00375C8B" w:rsidRDefault="00375C8B" w:rsidP="007102D5">
      <w:pPr>
        <w:widowControl w:val="0"/>
        <w:suppressAutoHyphens/>
        <w:spacing w:after="60" w:line="240" w:lineRule="atLeast"/>
        <w:rPr>
          <w:rFonts w:asciiTheme="minorHAnsi" w:hAnsiTheme="minorHAnsi" w:cstheme="minorHAnsi"/>
          <w:b/>
        </w:rPr>
      </w:pPr>
    </w:p>
    <w:p w14:paraId="3CAA56F5" w14:textId="77777777" w:rsidR="00375C8B" w:rsidRDefault="00375C8B" w:rsidP="007102D5">
      <w:pPr>
        <w:widowControl w:val="0"/>
        <w:suppressAutoHyphens/>
        <w:spacing w:after="60" w:line="240" w:lineRule="atLeast"/>
        <w:rPr>
          <w:rFonts w:asciiTheme="minorHAnsi" w:hAnsiTheme="minorHAnsi" w:cstheme="minorHAnsi"/>
          <w:b/>
        </w:rPr>
      </w:pPr>
    </w:p>
    <w:p w14:paraId="61F2C6DC" w14:textId="77777777" w:rsidR="00375C8B" w:rsidRDefault="00375C8B" w:rsidP="007102D5">
      <w:pPr>
        <w:widowControl w:val="0"/>
        <w:suppressAutoHyphens/>
        <w:spacing w:after="60" w:line="240" w:lineRule="atLeast"/>
        <w:rPr>
          <w:rFonts w:asciiTheme="minorHAnsi" w:hAnsiTheme="minorHAnsi" w:cstheme="minorHAnsi"/>
          <w:b/>
        </w:rPr>
      </w:pPr>
    </w:p>
    <w:p w14:paraId="2697A264" w14:textId="77777777" w:rsidR="00375C8B" w:rsidRDefault="00375C8B" w:rsidP="007102D5">
      <w:pPr>
        <w:widowControl w:val="0"/>
        <w:suppressAutoHyphens/>
        <w:spacing w:after="60" w:line="240" w:lineRule="atLeast"/>
        <w:rPr>
          <w:rFonts w:asciiTheme="minorHAnsi" w:hAnsiTheme="minorHAnsi" w:cstheme="minorHAnsi"/>
          <w:b/>
        </w:rPr>
      </w:pPr>
    </w:p>
    <w:p w14:paraId="322C43D9" w14:textId="77777777" w:rsidR="00375C8B" w:rsidRDefault="00375C8B" w:rsidP="007102D5">
      <w:pPr>
        <w:widowControl w:val="0"/>
        <w:suppressAutoHyphens/>
        <w:spacing w:after="60" w:line="240" w:lineRule="atLeast"/>
        <w:rPr>
          <w:rFonts w:asciiTheme="minorHAnsi" w:hAnsiTheme="minorHAnsi" w:cstheme="minorHAnsi"/>
          <w:b/>
        </w:rPr>
      </w:pPr>
    </w:p>
    <w:p w14:paraId="444C2A7C" w14:textId="77777777" w:rsidR="00375C8B" w:rsidRDefault="00375C8B" w:rsidP="007102D5">
      <w:pPr>
        <w:widowControl w:val="0"/>
        <w:suppressAutoHyphens/>
        <w:spacing w:after="60" w:line="240" w:lineRule="atLeast"/>
        <w:rPr>
          <w:rFonts w:asciiTheme="minorHAnsi" w:hAnsiTheme="minorHAnsi" w:cstheme="minorHAnsi"/>
          <w:b/>
        </w:rPr>
      </w:pPr>
    </w:p>
    <w:p w14:paraId="52F02CCA" w14:textId="77777777" w:rsidR="00375C8B" w:rsidRDefault="00375C8B" w:rsidP="007102D5">
      <w:pPr>
        <w:widowControl w:val="0"/>
        <w:suppressAutoHyphens/>
        <w:spacing w:after="60" w:line="240" w:lineRule="atLeast"/>
        <w:rPr>
          <w:rFonts w:asciiTheme="minorHAnsi" w:hAnsiTheme="minorHAnsi" w:cstheme="minorHAnsi"/>
          <w:b/>
        </w:rPr>
      </w:pPr>
    </w:p>
    <w:p w14:paraId="23066FC7" w14:textId="778384AB" w:rsidR="00375C8B" w:rsidRDefault="00375C8B" w:rsidP="007102D5">
      <w:pPr>
        <w:widowControl w:val="0"/>
        <w:suppressAutoHyphens/>
        <w:spacing w:after="60" w:line="240" w:lineRule="atLeast"/>
        <w:rPr>
          <w:rFonts w:asciiTheme="minorHAnsi" w:hAnsiTheme="minorHAnsi" w:cstheme="minorHAnsi"/>
          <w:b/>
        </w:rPr>
      </w:pPr>
    </w:p>
    <w:p w14:paraId="0B857F1F" w14:textId="1B6A8A6D" w:rsidR="00133CBE" w:rsidRDefault="00133CBE" w:rsidP="007102D5">
      <w:pPr>
        <w:widowControl w:val="0"/>
        <w:suppressAutoHyphens/>
        <w:spacing w:after="60" w:line="240" w:lineRule="atLeast"/>
        <w:rPr>
          <w:rFonts w:asciiTheme="minorHAnsi" w:hAnsiTheme="minorHAnsi" w:cstheme="minorHAnsi"/>
          <w:b/>
        </w:rPr>
      </w:pPr>
    </w:p>
    <w:p w14:paraId="614D39FB" w14:textId="6AB64FD6" w:rsidR="00133CBE" w:rsidRDefault="00133CBE" w:rsidP="007102D5">
      <w:pPr>
        <w:widowControl w:val="0"/>
        <w:suppressAutoHyphens/>
        <w:spacing w:after="60" w:line="240" w:lineRule="atLeast"/>
        <w:rPr>
          <w:rFonts w:asciiTheme="minorHAnsi" w:hAnsiTheme="minorHAnsi" w:cstheme="minorHAnsi"/>
          <w:b/>
        </w:rPr>
      </w:pPr>
    </w:p>
    <w:p w14:paraId="6F21B608" w14:textId="7B514352" w:rsidR="00133CBE" w:rsidRDefault="00133CBE" w:rsidP="007102D5">
      <w:pPr>
        <w:widowControl w:val="0"/>
        <w:suppressAutoHyphens/>
        <w:spacing w:after="60" w:line="240" w:lineRule="atLeast"/>
        <w:rPr>
          <w:rFonts w:asciiTheme="minorHAnsi" w:hAnsiTheme="minorHAnsi" w:cstheme="minorHAnsi"/>
          <w:b/>
        </w:rPr>
      </w:pPr>
    </w:p>
    <w:p w14:paraId="403B83B1" w14:textId="138A7B90"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375C8B" w:rsidRPr="00B715FE" w14:paraId="4B7C75C3"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5F6C1278" w14:textId="77777777" w:rsidR="00375C8B" w:rsidRPr="002557A7" w:rsidRDefault="00375C8B"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500D5D09" w14:textId="77777777" w:rsidR="00375C8B" w:rsidRPr="00B90A24" w:rsidRDefault="00375C8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BB6FB23" w14:textId="77777777" w:rsidR="00375C8B" w:rsidRPr="00B90A24" w:rsidRDefault="00375C8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CD3187" w14:textId="77777777" w:rsidR="00375C8B" w:rsidRPr="00B90A24" w:rsidRDefault="00375C8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F1CA47" w14:textId="77777777" w:rsidR="00375C8B" w:rsidRPr="00B90A24" w:rsidRDefault="00375C8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E9F584" w14:textId="77777777" w:rsidR="00375C8B" w:rsidRPr="00B90A24" w:rsidRDefault="00375C8B" w:rsidP="00B51F24">
            <w:pPr>
              <w:rPr>
                <w:rFonts w:ascii="Calibri" w:hAnsi="Calibri" w:cs="Calibri"/>
                <w:b/>
                <w:bCs/>
                <w:sz w:val="22"/>
                <w:szCs w:val="22"/>
              </w:rPr>
            </w:pPr>
          </w:p>
        </w:tc>
      </w:tr>
      <w:tr w:rsidR="00375C8B" w:rsidRPr="00B715FE" w14:paraId="7AB3C801"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6C5B4D66" w14:textId="77777777" w:rsidR="00375C8B" w:rsidRPr="002557A7" w:rsidRDefault="00375C8B"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05B52BB5" w14:textId="77777777" w:rsidR="00375C8B" w:rsidRPr="00B90A24" w:rsidRDefault="00375C8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5A76BA" w14:textId="77777777" w:rsidR="00375C8B" w:rsidRPr="00B90A24" w:rsidRDefault="00375C8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3898B59" w14:textId="77777777" w:rsidR="00375C8B" w:rsidRPr="00B90A24" w:rsidRDefault="00375C8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B39DA3" w14:textId="77777777" w:rsidR="00375C8B" w:rsidRPr="00B90A24" w:rsidRDefault="00375C8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B35AEC" w14:textId="77777777" w:rsidR="00375C8B" w:rsidRPr="00B90A24" w:rsidRDefault="00375C8B"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621E914F" w14:textId="44B5A809" w:rsidR="00AD5A13" w:rsidRPr="00D14929" w:rsidRDefault="00AD5A13" w:rsidP="00C96A53">
        <w:pPr>
          <w:tabs>
            <w:tab w:val="center" w:pos="4536"/>
            <w:tab w:val="left" w:pos="6330"/>
            <w:tab w:val="right" w:pos="9072"/>
            <w:tab w:val="right" w:pos="9864"/>
          </w:tabs>
          <w:rPr>
            <w:rFonts w:ascii="Calibri" w:eastAsia="Calibri" w:hAnsi="Calibri" w:cs="Arial"/>
            <w:b/>
            <w:bCs/>
            <w:sz w:val="18"/>
            <w:szCs w:val="18"/>
            <w:lang w:eastAsia="en-US"/>
          </w:rPr>
        </w:pPr>
        <w:r w:rsidRPr="00D14929">
          <w:rPr>
            <w:rFonts w:ascii="Calibri" w:eastAsia="Calibri" w:hAnsi="Calibri" w:cs="Arial"/>
            <w:b/>
            <w:bCs/>
            <w:sz w:val="18"/>
            <w:szCs w:val="18"/>
            <w:lang w:eastAsia="en-US"/>
          </w:rPr>
          <w:t xml:space="preserve"> </w:t>
        </w:r>
      </w:p>
      <w:p w14:paraId="77DE50D2" w14:textId="49B97092" w:rsidR="005B6B38" w:rsidRPr="00532F40" w:rsidRDefault="002F4153" w:rsidP="00AD5A13">
        <w:pPr>
          <w:tabs>
            <w:tab w:val="center" w:pos="4536"/>
            <w:tab w:val="left" w:pos="6330"/>
            <w:tab w:val="right" w:pos="9072"/>
            <w:tab w:val="right" w:pos="9864"/>
          </w:tabs>
          <w:rPr>
            <w:rFonts w:ascii="Calibri" w:hAnsi="Calibri" w:cs="Calibri"/>
            <w:sz w:val="22"/>
            <w:szCs w:val="22"/>
          </w:rPr>
        </w:pPr>
        <w:r>
          <w:rPr>
            <w:sz w:val="8"/>
            <w:szCs w:val="16"/>
          </w:rPr>
          <w:t xml:space="preserve">                                                                                                                                                                                                                                                                                                                                                   </w:t>
        </w:r>
        <w:r w:rsidR="006213CE">
          <w:rPr>
            <w:sz w:val="8"/>
            <w:szCs w:val="16"/>
          </w:rPr>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B2C445E"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F644DEE"/>
    <w:multiLevelType w:val="hybridMultilevel"/>
    <w:tmpl w:val="D57ED6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4B66B8C"/>
    <w:multiLevelType w:val="hybridMultilevel"/>
    <w:tmpl w:val="D6F4C6C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15:restartNumberingAfterBreak="0">
    <w:nsid w:val="666B55E8"/>
    <w:multiLevelType w:val="hybridMultilevel"/>
    <w:tmpl w:val="C8641D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59053B1"/>
    <w:multiLevelType w:val="hybridMultilevel"/>
    <w:tmpl w:val="B1ACB5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5"/>
  </w:num>
  <w:num w:numId="3">
    <w:abstractNumId w:val="26"/>
  </w:num>
  <w:num w:numId="4">
    <w:abstractNumId w:val="11"/>
  </w:num>
  <w:num w:numId="5">
    <w:abstractNumId w:val="2"/>
  </w:num>
  <w:num w:numId="6">
    <w:abstractNumId w:val="10"/>
  </w:num>
  <w:num w:numId="7">
    <w:abstractNumId w:val="15"/>
  </w:num>
  <w:num w:numId="8">
    <w:abstractNumId w:val="37"/>
  </w:num>
  <w:num w:numId="9">
    <w:abstractNumId w:val="7"/>
  </w:num>
  <w:num w:numId="10">
    <w:abstractNumId w:val="29"/>
  </w:num>
  <w:num w:numId="11">
    <w:abstractNumId w:val="13"/>
  </w:num>
  <w:num w:numId="12">
    <w:abstractNumId w:val="24"/>
  </w:num>
  <w:num w:numId="13">
    <w:abstractNumId w:val="20"/>
  </w:num>
  <w:num w:numId="14">
    <w:abstractNumId w:val="30"/>
  </w:num>
  <w:num w:numId="15">
    <w:abstractNumId w:val="1"/>
  </w:num>
  <w:num w:numId="16">
    <w:abstractNumId w:val="8"/>
  </w:num>
  <w:num w:numId="17">
    <w:abstractNumId w:val="25"/>
  </w:num>
  <w:num w:numId="18">
    <w:abstractNumId w:val="9"/>
  </w:num>
  <w:num w:numId="19">
    <w:abstractNumId w:val="23"/>
  </w:num>
  <w:num w:numId="20">
    <w:abstractNumId w:val="5"/>
  </w:num>
  <w:num w:numId="21">
    <w:abstractNumId w:val="19"/>
  </w:num>
  <w:num w:numId="22">
    <w:abstractNumId w:val="34"/>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2"/>
  </w:num>
  <w:num w:numId="28">
    <w:abstractNumId w:val="16"/>
  </w:num>
  <w:num w:numId="29">
    <w:abstractNumId w:val="21"/>
  </w:num>
  <w:num w:numId="30">
    <w:abstractNumId w:val="14"/>
  </w:num>
  <w:num w:numId="31">
    <w:abstractNumId w:val="6"/>
  </w:num>
  <w:num w:numId="32">
    <w:abstractNumId w:val="31"/>
  </w:num>
  <w:num w:numId="33">
    <w:abstractNumId w:val="4"/>
  </w:num>
  <w:num w:numId="34">
    <w:abstractNumId w:val="38"/>
  </w:num>
  <w:num w:numId="35">
    <w:abstractNumId w:val="18"/>
  </w:num>
  <w:num w:numId="36">
    <w:abstractNumId w:val="3"/>
  </w:num>
  <w:num w:numId="37">
    <w:abstractNumId w:val="33"/>
  </w:num>
  <w:num w:numId="38">
    <w:abstractNumId w:val="27"/>
  </w:num>
  <w:num w:numId="39">
    <w:abstractNumId w:val="2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336"/>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07083"/>
    <w:rsid w:val="001142B6"/>
    <w:rsid w:val="00116A0C"/>
    <w:rsid w:val="00120351"/>
    <w:rsid w:val="00130506"/>
    <w:rsid w:val="001314A4"/>
    <w:rsid w:val="00133407"/>
    <w:rsid w:val="00133CBE"/>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1E15"/>
    <w:rsid w:val="00276440"/>
    <w:rsid w:val="0028222C"/>
    <w:rsid w:val="00284731"/>
    <w:rsid w:val="002960DC"/>
    <w:rsid w:val="00297C25"/>
    <w:rsid w:val="002A227A"/>
    <w:rsid w:val="002B5142"/>
    <w:rsid w:val="002B6DB3"/>
    <w:rsid w:val="002E0B61"/>
    <w:rsid w:val="002F3B5F"/>
    <w:rsid w:val="002F4153"/>
    <w:rsid w:val="00307BDD"/>
    <w:rsid w:val="00307E66"/>
    <w:rsid w:val="00321D13"/>
    <w:rsid w:val="00327CB8"/>
    <w:rsid w:val="003344D5"/>
    <w:rsid w:val="0034495D"/>
    <w:rsid w:val="003506AD"/>
    <w:rsid w:val="003608C7"/>
    <w:rsid w:val="003629F4"/>
    <w:rsid w:val="00373F2B"/>
    <w:rsid w:val="00375C8B"/>
    <w:rsid w:val="00384616"/>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4B52"/>
    <w:rsid w:val="004A44B7"/>
    <w:rsid w:val="004A629E"/>
    <w:rsid w:val="004B54F9"/>
    <w:rsid w:val="004C1ABC"/>
    <w:rsid w:val="004D2459"/>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2D9E"/>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55BBE"/>
    <w:rsid w:val="00873BD7"/>
    <w:rsid w:val="00883659"/>
    <w:rsid w:val="008908D8"/>
    <w:rsid w:val="00893E5E"/>
    <w:rsid w:val="00896738"/>
    <w:rsid w:val="008A728C"/>
    <w:rsid w:val="008B09C7"/>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410F"/>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67554"/>
    <w:rsid w:val="00A72C26"/>
    <w:rsid w:val="00A760F0"/>
    <w:rsid w:val="00A938BF"/>
    <w:rsid w:val="00A97B84"/>
    <w:rsid w:val="00A97DF3"/>
    <w:rsid w:val="00AA2F6D"/>
    <w:rsid w:val="00AB34FE"/>
    <w:rsid w:val="00AC1C6A"/>
    <w:rsid w:val="00AD5A13"/>
    <w:rsid w:val="00AE2B3E"/>
    <w:rsid w:val="00AE54D2"/>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5BD2"/>
    <w:rsid w:val="00C168C7"/>
    <w:rsid w:val="00C34021"/>
    <w:rsid w:val="00C777AE"/>
    <w:rsid w:val="00C84EB9"/>
    <w:rsid w:val="00C92EC4"/>
    <w:rsid w:val="00C96A53"/>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0C3D"/>
    <w:rsid w:val="00D61838"/>
    <w:rsid w:val="00D61FD0"/>
    <w:rsid w:val="00D65889"/>
    <w:rsid w:val="00D71975"/>
    <w:rsid w:val="00D7201F"/>
    <w:rsid w:val="00D72EBB"/>
    <w:rsid w:val="00D73A4C"/>
    <w:rsid w:val="00D83A47"/>
    <w:rsid w:val="00D845B1"/>
    <w:rsid w:val="00D954BC"/>
    <w:rsid w:val="00D9552F"/>
    <w:rsid w:val="00DA2B06"/>
    <w:rsid w:val="00DA3510"/>
    <w:rsid w:val="00DA5A12"/>
    <w:rsid w:val="00DD4B70"/>
    <w:rsid w:val="00DD5CB6"/>
    <w:rsid w:val="00DE341B"/>
    <w:rsid w:val="00DE52E6"/>
    <w:rsid w:val="00DF1C62"/>
    <w:rsid w:val="00E00708"/>
    <w:rsid w:val="00E228EC"/>
    <w:rsid w:val="00E264D2"/>
    <w:rsid w:val="00E379B2"/>
    <w:rsid w:val="00E402A4"/>
    <w:rsid w:val="00E42968"/>
    <w:rsid w:val="00E60A24"/>
    <w:rsid w:val="00E6140A"/>
    <w:rsid w:val="00E6643A"/>
    <w:rsid w:val="00E702F2"/>
    <w:rsid w:val="00E74A6B"/>
    <w:rsid w:val="00E75BE0"/>
    <w:rsid w:val="00E762CB"/>
    <w:rsid w:val="00E91E0D"/>
    <w:rsid w:val="00E92E41"/>
    <w:rsid w:val="00E94CEB"/>
    <w:rsid w:val="00E95569"/>
    <w:rsid w:val="00E96EC0"/>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11</Pages>
  <Words>3591</Words>
  <Characters>21190</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20</cp:revision>
  <cp:lastPrinted>2018-10-01T07:59:00Z</cp:lastPrinted>
  <dcterms:created xsi:type="dcterms:W3CDTF">2022-02-09T13:00:00Z</dcterms:created>
  <dcterms:modified xsi:type="dcterms:W3CDTF">2022-03-23T11:46:00Z</dcterms:modified>
</cp:coreProperties>
</file>