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02B78048" w14:textId="77777777" w:rsidR="00754F29" w:rsidRPr="004E6F1A" w:rsidRDefault="00754F29" w:rsidP="00754F29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Orlickoústecká nemocnice:</w:t>
      </w:r>
    </w:p>
    <w:p w14:paraId="54C0EEB8" w14:textId="2B8D2A1D" w:rsidR="00754F29" w:rsidRDefault="00754F29" w:rsidP="00754F29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Oddělení klinické biochemie a diagnostiky</w:t>
      </w:r>
    </w:p>
    <w:p w14:paraId="04BCFA94" w14:textId="77777777" w:rsidR="008469B8" w:rsidRDefault="001D2CB9" w:rsidP="006A7213">
      <w:pPr>
        <w:pStyle w:val="Odstavecseseznamem"/>
        <w:numPr>
          <w:ilvl w:val="1"/>
          <w:numId w:val="1"/>
        </w:numPr>
      </w:pPr>
      <w:proofErr w:type="spellStart"/>
      <w:r w:rsidRPr="004E6F1A">
        <w:t>Hematologicko</w:t>
      </w:r>
      <w:proofErr w:type="spellEnd"/>
      <w:r>
        <w:t xml:space="preserve"> – transfuzní</w:t>
      </w:r>
      <w:r w:rsidR="00754F29" w:rsidRPr="004E6F1A">
        <w:t xml:space="preserve"> oddělení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6A7213" w:rsidRPr="009B2F7C" w14:paraId="024A9B72" w14:textId="77777777" w:rsidTr="00E70F9C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  <w:hideMark/>
          </w:tcPr>
          <w:p w14:paraId="6E59B390" w14:textId="7777777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Počet cyklů </w:t>
            </w:r>
          </w:p>
        </w:tc>
      </w:tr>
      <w:tr w:rsidR="00D82874" w:rsidRPr="009B2F7C" w14:paraId="7AC255E0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2D4A8AE8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20AC4D1E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B974CB" w14:textId="1FBFB3FC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8</w:t>
            </w:r>
          </w:p>
        </w:tc>
      </w:tr>
      <w:tr w:rsidR="00D82874" w:rsidRPr="009B2F7C" w14:paraId="451370AE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18688BE3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0033F0BE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E510401" w14:textId="7DCB45EC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7E46708A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7A46735B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7BC45760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EF8ECF" w14:textId="3658FEAD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5</w:t>
            </w:r>
          </w:p>
        </w:tc>
      </w:tr>
      <w:tr w:rsidR="00D82874" w:rsidRPr="009B2F7C" w14:paraId="163D032D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0F2F15FB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429DBE34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0E1B5F" w14:textId="1C6AFD93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6B34AC5E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4F8EBD81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28570CC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325C648" w14:textId="3208D42F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45C5018D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0CE955BB" w:rsidR="006A7213" w:rsidRPr="006D1A59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0F088A8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120E8C" w14:textId="6712D946" w:rsidR="006A7213" w:rsidRPr="00DD0D73" w:rsidRDefault="00FC2E3A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4B87470E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</w:t>
            </w:r>
            <w:proofErr w:type="spellEnd"/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77D1C801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E068774" w14:textId="45F2D862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63B9424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Autoprotilátky u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tyreopatií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1063F18F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57DC8745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D515FD" w14:textId="6536B923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78BB01CA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7F696AC6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135D1B6" w14:textId="0A321FD3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63583EF6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3FFB98B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0985A1" w14:textId="321EDE74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0A9A4236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Cystatin</w:t>
            </w:r>
            <w:proofErr w:type="spellEnd"/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6548DB89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8DCA64" w14:textId="371AF6FA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73C64597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2081B75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328286" w14:textId="2B63CC11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25E77339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2AEC93C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7E20BB2" w14:textId="4D53FE0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77F3844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Biochemická analýza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1FA2D0AB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61EDFA" w14:textId="442BE518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B87A930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Cytologie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5E8F4F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51A42F7" w14:textId="4CF73EB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0F2CBDD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Klinická analýza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344FF15E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540939" w14:textId="6509C95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FC2E3A" w:rsidRPr="00FC2E3A" w14:paraId="02A17A3B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218FF635" w:rsidR="006A7213" w:rsidRPr="006D1A59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47AB27F6" w:rsidR="006A7213" w:rsidRPr="006D1A59" w:rsidRDefault="00FC2E3A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BE95CFF" w14:textId="7F50345D" w:rsidR="006A7213" w:rsidRPr="00FC2E3A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8</w:t>
            </w:r>
          </w:p>
        </w:tc>
      </w:tr>
      <w:tr w:rsidR="00D82874" w:rsidRPr="009B2F7C" w14:paraId="2DDFEDF3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153CE0B5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818E397" w14:textId="5B85406A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23A5B5A4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0C28D060" w:rsidR="006A7213" w:rsidRPr="006D1A59" w:rsidRDefault="00FC2E3A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2A7F4E6E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3D45A6" w14:textId="5A03D782" w:rsidR="006A7213" w:rsidRPr="00DD0D73" w:rsidRDefault="00FC2E3A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6C89301C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647AA4A8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399800" w14:textId="500BB817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03CC1AE6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6CA23C3E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82FFB65" w14:textId="26EE1A53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1</w:t>
            </w:r>
          </w:p>
        </w:tc>
      </w:tr>
      <w:tr w:rsidR="00D82874" w:rsidRPr="009B2F7C" w14:paraId="271A1CAF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1774A91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0CCCD1" w14:textId="71887188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4AEC0E4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1A7870DC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E5048A" w14:textId="198E648B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0B35B31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06B3D9F4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97CA38" w14:textId="3CBD149F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333FA104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3CCCED55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42FF0E" w14:textId="1CB999FE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887B9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59BB8527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028BF43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76E1A6" w14:textId="4E257FFB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5E414DC3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0FABA664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EDC8E9" w14:textId="471B0B84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194C2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41CED98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26A923CB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64AD6A5" w14:textId="540D8B6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822416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6DE2B21A" w:rsidR="006A7213" w:rsidRPr="006D1A59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7BAD1BDF" w:rsidR="006A7213" w:rsidRPr="006D1A59" w:rsidRDefault="00FC2E3A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0EDC32" w14:textId="2BA78BAF" w:rsidR="006A7213" w:rsidRPr="00DD0D73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</w:tr>
      <w:tr w:rsidR="006A7213" w:rsidRPr="009B2F7C" w14:paraId="02B88036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06424AC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347BA3A9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E4CC89A" w14:textId="71A7267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341F37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753B00D8" w:rsidR="006A7213" w:rsidRPr="006D1A59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0F74E118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6AA4D3" w14:textId="514A79D5" w:rsidR="006A7213" w:rsidRPr="00DD0D73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38E6C2E7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7E76087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2E3652" w14:textId="726EE1FF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C67E477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2D3C269F" w:rsidR="006A7213" w:rsidRPr="006D1A59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11EC1F74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9EE7769" w14:textId="2FBA3120" w:rsidR="006A7213" w:rsidRPr="00DD0D73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CB6495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7BB31BD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525C93" w14:textId="4A71255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72D208AC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14EA74D8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4DE64E8" w14:textId="0191520C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D82874" w:rsidRPr="009B2F7C" w14:paraId="596944C9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3F054617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AEBF6D6" w14:textId="485EAEE2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493DCF0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132619B7" w:rsidR="006A7213" w:rsidRPr="006D1A59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3861659E" w:rsidR="006A7213" w:rsidRPr="006D1A59" w:rsidRDefault="008A221F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CE7CBB" w14:textId="1C721F56" w:rsidR="006A7213" w:rsidRPr="00DD0D73" w:rsidRDefault="00D8287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32EEE3E9" w14:textId="77777777" w:rsidTr="006A7213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Lupus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antikoagulans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670FF4A1" w:rsidR="006A7213" w:rsidRPr="006D1A59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6128E388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C4DE249" w14:textId="348AFFF6" w:rsidR="006A7213" w:rsidRPr="00DD0D73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D82874" w:rsidRPr="009B2F7C" w14:paraId="545B5CD0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3BB6C214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4F8B599" w14:textId="6D404CCF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1</w:t>
            </w:r>
          </w:p>
        </w:tc>
      </w:tr>
      <w:tr w:rsidR="006A7213" w:rsidRPr="009B2F7C" w14:paraId="3B347571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6E8AAB44" w:rsidR="006A7213" w:rsidRPr="006D1A59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78ADC892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8821E" w14:textId="21E15FCB" w:rsidR="006A7213" w:rsidRPr="00DD0D73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246986B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20687664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0239A0" w14:textId="6292A64E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54D4983D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E0C25D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22243A" w14:textId="0FE3B7F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B6EC0B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538A60CD" w:rsidR="006A7213" w:rsidRPr="006D1A59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3DF48605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8EEA14" w14:textId="50CDE7DD" w:rsidR="006A7213" w:rsidRPr="00DD0D73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32DB1DB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5E24A524" w:rsidR="006A7213" w:rsidRPr="006D1A59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68C646C1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A32E22" w14:textId="3E9D225D" w:rsidR="006A7213" w:rsidRPr="00DD0D73" w:rsidRDefault="00EC41E5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53FA5D4C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1741D77F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F2DC4D" w14:textId="53F4DE67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5FBA3B9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0644F88F" w:rsidR="006A7213" w:rsidRPr="006D1A59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19954B42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E395ED" w14:textId="6523CDBA" w:rsidR="006A7213" w:rsidRPr="00DD0D73" w:rsidRDefault="008A221F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C5F334B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69DDE9A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2BE2DE78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87052A" w14:textId="397D7750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0DFC6FC4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1D570A1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7E2AC65" w14:textId="2F2BAA0B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164ED6DC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097F110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D6EFF8F" w14:textId="17ABAFA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1DE224FA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4AA7D443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597B75" w14:textId="2386EB2E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6DB1CF6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07A0078B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Stanovení celkového </w:t>
            </w:r>
            <w:proofErr w:type="spellStart"/>
            <w:r w:rsidRPr="006D1A59">
              <w:rPr>
                <w:rFonts w:eastAsia="Times New Roman" w:cs="Arial"/>
                <w:color w:val="000000"/>
                <w:lang w:eastAsia="cs-CZ"/>
              </w:rPr>
              <w:t>IgE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24E3F68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B885135" w14:textId="58764069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0B5827DA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4B91D708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8929B2E" w14:textId="34F33469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EDFC8B3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proofErr w:type="spellStart"/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</w:t>
            </w:r>
            <w:proofErr w:type="spellEnd"/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 xml:space="preserve">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36C896C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5C474FA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526455" w14:textId="1C2F43C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82874" w:rsidRPr="009B2F7C" w14:paraId="1D0323B8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38EE9A7E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E57E543" w14:textId="34A9A79F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D82874" w:rsidRPr="009B2F7C" w14:paraId="6D870C83" w14:textId="77777777" w:rsidTr="006A7213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D82874" w:rsidRPr="006D1A59" w:rsidRDefault="00D82874" w:rsidP="00D8287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6B903C0D" w:rsidR="00D82874" w:rsidRPr="006D1A59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D82874" w:rsidRPr="006D1A59" w:rsidRDefault="00D82874" w:rsidP="00D82874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0150D7" w14:textId="175CAEE5" w:rsidR="00D82874" w:rsidRPr="00DD0D73" w:rsidRDefault="00D82874" w:rsidP="00D82874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</w:tbl>
    <w:p w14:paraId="62E0FE31" w14:textId="77777777" w:rsidR="00D82874" w:rsidRDefault="00D82874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339501BB" w14:textId="77777777" w:rsidR="00D82874" w:rsidRDefault="00D82874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</w:p>
    <w:p w14:paraId="05314DDF" w14:textId="6C848952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24072021" w14:textId="74BBCA4B" w:rsidR="008469B8" w:rsidRDefault="008469B8" w:rsidP="008469B8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 w:rsidRPr="005B5B39">
        <w:rPr>
          <w:rFonts w:cs="Arial"/>
          <w:bCs/>
          <w:sz w:val="22"/>
          <w:szCs w:val="22"/>
        </w:rPr>
        <w:t xml:space="preserve">Orlickoústecká nemocnice, Čs. armády 1076, </w:t>
      </w:r>
      <w:r w:rsidRPr="00E42564">
        <w:rPr>
          <w:rFonts w:cs="Arial"/>
          <w:bCs/>
          <w:sz w:val="22"/>
          <w:szCs w:val="22"/>
        </w:rPr>
        <w:t>562 18</w:t>
      </w:r>
      <w:r>
        <w:rPr>
          <w:rFonts w:cs="Arial"/>
          <w:bCs/>
          <w:sz w:val="22"/>
          <w:szCs w:val="22"/>
        </w:rPr>
        <w:t xml:space="preserve"> </w:t>
      </w:r>
      <w:r w:rsidRPr="005B5B39">
        <w:rPr>
          <w:rFonts w:cs="Arial"/>
          <w:bCs/>
          <w:sz w:val="22"/>
          <w:szCs w:val="22"/>
        </w:rPr>
        <w:t>Ústí nad Orlicí</w:t>
      </w:r>
    </w:p>
    <w:p w14:paraId="634C9D20" w14:textId="655969E8" w:rsidR="009C5B71" w:rsidRPr="00FA3856" w:rsidRDefault="009C5B71" w:rsidP="008469B8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  <w:highlight w:val="cyan"/>
        </w:rPr>
      </w:pPr>
      <w:r w:rsidRPr="00FA3856">
        <w:rPr>
          <w:rFonts w:cs="Arial"/>
          <w:bCs/>
          <w:sz w:val="22"/>
          <w:szCs w:val="22"/>
          <w:highlight w:val="cyan"/>
        </w:rPr>
        <w:t>Laboratoř, Žižkova 271, 566 23 Vysoké Mýto</w:t>
      </w:r>
    </w:p>
    <w:p w14:paraId="7C12B076" w14:textId="4C4FD97F" w:rsidR="008469B8" w:rsidRDefault="008469B8" w:rsidP="009C5B71">
      <w:pPr>
        <w:pStyle w:val="Odstavecseseznamem"/>
        <w:ind w:left="1013"/>
        <w:rPr>
          <w:rFonts w:cs="Arial"/>
          <w:bCs/>
          <w:sz w:val="22"/>
          <w:szCs w:val="22"/>
        </w:rPr>
      </w:pPr>
    </w:p>
    <w:p w14:paraId="6FA0C2CE" w14:textId="77777777" w:rsidR="008469B8" w:rsidRPr="008469B8" w:rsidRDefault="008469B8" w:rsidP="008469B8">
      <w:pPr>
        <w:rPr>
          <w:rFonts w:cs="Arial"/>
          <w:bCs/>
        </w:rPr>
      </w:pP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55FC01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29"/>
    <w:rsid w:val="001D2CB9"/>
    <w:rsid w:val="006A7213"/>
    <w:rsid w:val="00754F29"/>
    <w:rsid w:val="008469B8"/>
    <w:rsid w:val="008A221F"/>
    <w:rsid w:val="009C5B71"/>
    <w:rsid w:val="00A561FE"/>
    <w:rsid w:val="00D82874"/>
    <w:rsid w:val="00DD1199"/>
    <w:rsid w:val="00EC41E5"/>
    <w:rsid w:val="00FA3856"/>
    <w:rsid w:val="00FC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chartTrackingRefBased/>
  <w15:docId w15:val="{A22D3432-331C-4F56-95E0-CD8544C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D4C2-DB08-4002-8A0B-768AACAE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Valová Lucie (OUN-KVA)</cp:lastModifiedBy>
  <cp:revision>4</cp:revision>
  <dcterms:created xsi:type="dcterms:W3CDTF">2021-09-14T11:51:00Z</dcterms:created>
  <dcterms:modified xsi:type="dcterms:W3CDTF">2021-09-14T12:44:00Z</dcterms:modified>
</cp:coreProperties>
</file>