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</w:r>
    </w:p>
    <w:p>
      <w:pPr>
        <w:pStyle w:val="TextBody"/>
        <w:rPr>
          <w:b/>
        </w:rPr>
      </w:pPr>
      <w:r>
        <w:rPr>
          <w:b/>
        </w:rPr>
        <w:t xml:space="preserve">Protokol určení vnějších vlivů </w:t>
      </w:r>
    </w:p>
    <w:p>
      <w:pPr>
        <w:pStyle w:val="TextBody"/>
        <w:rPr/>
      </w:pPr>
      <w:r>
        <w:rPr/>
        <w:t xml:space="preserve">dle ČSN 33 2000-5-51 ed.3 </w:t>
      </w:r>
    </w:p>
    <w:p>
      <w:pPr>
        <w:pStyle w:val="TextBody"/>
        <w:rPr/>
      </w:pPr>
      <w:r>
        <w:rPr/>
        <w:t xml:space="preserve">vedoucí projektu: </w:t>
        <w:br/>
        <w:t xml:space="preserve">zodpovědný projektant: </w:t>
        <w:br/>
        <w:t xml:space="preserve">Vypracoval: </w:t>
        <w:br/>
        <w:t xml:space="preserve">stupeň PD: </w:t>
      </w:r>
    </w:p>
    <w:p>
      <w:pPr>
        <w:pStyle w:val="TextBody"/>
        <w:rPr/>
      </w:pPr>
      <w:r>
        <w:rPr/>
        <w:t xml:space="preserve">Roman Hroděj </w:t>
        <w:br/>
        <w:t xml:space="preserve">Ing. Petr Šedaj </w:t>
        <w:br/>
        <w:t xml:space="preserve">Bohumil Brožovský </w:t>
        <w:br/>
        <w:t xml:space="preserve">DPS </w:t>
      </w:r>
    </w:p>
    <w:p>
      <w:pPr>
        <w:pStyle w:val="TextBody"/>
        <w:rPr/>
      </w:pPr>
      <w:r>
        <w:rPr/>
        <w:br/>
      </w:r>
      <w:r>
        <w:rPr>
          <w:b/>
        </w:rPr>
        <w:t xml:space="preserve">ELEKTRO-SYCHRA </w:t>
      </w:r>
    </w:p>
    <w:p>
      <w:pPr>
        <w:pStyle w:val="TextBody"/>
        <w:rPr/>
      </w:pPr>
      <w:r>
        <w:rPr>
          <w:b/>
        </w:rPr>
        <w:t>Elektro-Sychra, spol. s r.o.</w:t>
      </w:r>
      <w:r>
        <w:rPr/>
        <w:t xml:space="preserve"> </w:t>
        <w:br/>
      </w:r>
      <w:r>
        <w:rPr>
          <w:i/>
        </w:rPr>
        <w:t>Jilemnického 233</w:t>
      </w:r>
      <w:r>
        <w:rPr/>
        <w:t xml:space="preserve"> </w:t>
      </w:r>
    </w:p>
    <w:p>
      <w:pPr>
        <w:pStyle w:val="TextBody"/>
        <w:rPr/>
      </w:pPr>
      <w:r>
        <w:rPr>
          <w:i/>
        </w:rPr>
        <w:t>562 01, Ústí nad Orlicí</w:t>
      </w:r>
      <w:r>
        <w:rPr/>
        <w:t xml:space="preserve"> </w:t>
        <w:br/>
      </w:r>
      <w:r>
        <w:rPr>
          <w:i/>
        </w:rPr>
        <w:t xml:space="preserve">tel: 465 523 140, e-mail: info@elektro-sychra.cz </w:t>
      </w:r>
    </w:p>
    <w:p>
      <w:pPr>
        <w:pStyle w:val="TextBody"/>
        <w:rPr/>
      </w:pPr>
      <w:r>
        <w:rPr/>
        <w:t xml:space="preserve">Investor: Pardubický kraj, Komenského náměstí 125, 532 11 Pardubice </w:t>
        <w:br/>
      </w:r>
      <w:r>
        <w:rPr>
          <w:b/>
        </w:rPr>
        <w:t xml:space="preserve">ELEKTROINSTALACE </w:t>
      </w:r>
      <w:r>
        <w:rPr/>
        <w:t xml:space="preserve">Zakázkové číslo: </w:t>
      </w:r>
    </w:p>
    <w:p>
      <w:pPr>
        <w:pStyle w:val="TextBody"/>
        <w:rPr/>
      </w:pPr>
      <w:r>
        <w:rPr/>
        <w:t xml:space="preserve">Datum: </w:t>
        <w:br/>
        <w:t xml:space="preserve">19013 </w:t>
      </w:r>
    </w:p>
    <w:p>
      <w:pPr>
        <w:pStyle w:val="TextBody"/>
        <w:rPr/>
      </w:pPr>
      <w:r>
        <w:rPr/>
        <w:t xml:space="preserve">6/2019 </w:t>
        <w:br/>
        <w:t xml:space="preserve">Akce: SPECIÁLNÍ TŠ, MŠ A PRAKTICKÁ ŠKOLA ÚSTÍ NAD ORLICÍ – </w:t>
        <w:br/>
        <w:t xml:space="preserve">PŮDNÍ VESTAVBA A REKONSTRUKCE WC </w:t>
        <w:br/>
        <w:t xml:space="preserve">SO 02 REKONSTRUKCE WC V 2. BUDOVĚ ŠKOLY </w:t>
        <w:br/>
        <w:t xml:space="preserve">Část: </w:t>
      </w:r>
      <w:r>
        <w:rPr>
          <w:b/>
        </w:rPr>
        <w:t xml:space="preserve">Protokol určení vnějších vlivů </w:t>
      </w:r>
      <w:r>
        <w:rPr/>
        <w:t xml:space="preserve">č.př. </w:t>
      </w:r>
      <w:r>
        <w:rPr>
          <w:b/>
        </w:rPr>
        <w:t>D01.1.4.3.2</w:t>
      </w:r>
      <w:r>
        <w:rPr/>
        <w:t xml:space="preserve"> </w:t>
      </w:r>
    </w:p>
    <w:p>
      <w:pPr>
        <w:pStyle w:val="TextBody"/>
        <w:rPr/>
      </w:pPr>
      <w:r>
        <w:rPr/>
        <w:br/>
      </w:r>
      <w:r>
        <w:rPr>
          <w:i/>
        </w:rPr>
        <w:t xml:space="preserve">Složení komise : </w:t>
      </w:r>
      <w:r>
        <w:rPr/>
        <w:t xml:space="preserve">Roman Hroděj - předseda komise </w:t>
        <w:br/>
        <w:t xml:space="preserve">ing. Petr Šedaj - revizní technik </w:t>
        <w:br/>
        <w:t xml:space="preserve">B. Brožovský - projektant </w:t>
        <w:br/>
        <w:t xml:space="preserve">- zástupce investora </w:t>
        <w:br/>
        <w:br/>
        <w:br/>
      </w:r>
      <w:r>
        <w:rPr>
          <w:i/>
        </w:rPr>
        <w:t xml:space="preserve">Název objektu, stavby, prostoru : </w:t>
      </w:r>
      <w:r>
        <w:rPr/>
        <w:br/>
      </w:r>
      <w:r>
        <w:rPr>
          <w:b/>
          <w:i/>
        </w:rPr>
        <w:t xml:space="preserve">Speciální TŠ, MŠ a praktická škola Ústí nad Orlicí- Rekonstrukce WC. </w:t>
        <w:br/>
      </w:r>
      <w:r>
        <w:rPr>
          <w:b/>
        </w:rPr>
        <w:t xml:space="preserve">SPSPECIÁLNÍ TŠ, MŠ A PRAKTICKÁ ŠKOLA ÚSTÍ NAD MŠ A PRAKTICKÁ ŠKOLA </w:t>
        <w:br/>
        <w:t xml:space="preserve">ÚSTÍ NAD ORLICÍ - </w:t>
        <w:br/>
      </w:r>
      <w:r>
        <w:rPr>
          <w:i/>
        </w:rPr>
        <w:t xml:space="preserve">Podklady použité pro vypracování protokolu : </w:t>
      </w:r>
    </w:p>
    <w:p>
      <w:pPr>
        <w:pStyle w:val="TextBody"/>
        <w:rPr/>
      </w:pPr>
      <w:r>
        <w:rPr/>
        <w:t xml:space="preserve">a) ČSN 33 2000-5-51 ed.3, ČSN 33 2130 ed.3, ČSN 33 2000-7-701 ed.2 </w:t>
        <w:br/>
        <w:t xml:space="preserve">ČSN 332000-5-52 ed.2, ČSN 332000-1 ed.1.2 </w:t>
      </w:r>
    </w:p>
    <w:p>
      <w:pPr>
        <w:pStyle w:val="TextBody"/>
        <w:rPr/>
      </w:pPr>
      <w:r>
        <w:rPr/>
        <w:t xml:space="preserve">b) konzultace s proj. stavby a investorem </w:t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</w:r>
    </w:p>
    <w:p>
      <w:pPr>
        <w:pStyle w:val="TextBody"/>
        <w:rPr>
          <w:i/>
        </w:rPr>
      </w:pPr>
      <w:r>
        <w:rPr>
          <w:i/>
        </w:rPr>
        <w:br/>
        <w:br/>
        <w:br/>
      </w:r>
    </w:p>
    <w:p>
      <w:pPr>
        <w:pStyle w:val="TextBody"/>
        <w:rPr>
          <w:b/>
        </w:rPr>
      </w:pPr>
      <w:r>
        <w:rPr>
          <w:b/>
        </w:rPr>
        <w:t xml:space="preserve">Určené vnější vlivy v daném prostoru : Prostor toalet- NORMÁLNÍ </w:t>
        <w:br/>
        <w:t xml:space="preserve">321 Vnější činitel prostředí (A) Kód </w:t>
      </w:r>
    </w:p>
    <w:p>
      <w:pPr>
        <w:pStyle w:val="TextBody"/>
        <w:rPr/>
      </w:pPr>
      <w:r>
        <w:rPr/>
        <w:t xml:space="preserve">321.1 </w:t>
      </w:r>
      <w:r>
        <w:rPr>
          <w:i/>
        </w:rPr>
        <w:t xml:space="preserve">Teplota okolí </w:t>
      </w:r>
      <w:r>
        <w:rPr/>
        <w:t xml:space="preserve">AA 5 </w:t>
        <w:br/>
        <w:t xml:space="preserve">321.2 </w:t>
      </w:r>
      <w:r>
        <w:rPr>
          <w:i/>
        </w:rPr>
        <w:t xml:space="preserve">Atmosférické podmínky v okolí </w:t>
      </w:r>
      <w:r>
        <w:rPr/>
        <w:t xml:space="preserve">AB 5 </w:t>
        <w:br/>
        <w:t xml:space="preserve">321.3 </w:t>
      </w:r>
      <w:r>
        <w:rPr>
          <w:i/>
        </w:rPr>
        <w:t xml:space="preserve">Nadmořská výška </w:t>
      </w:r>
      <w:r>
        <w:rPr/>
        <w:t xml:space="preserve">AC 1 </w:t>
        <w:br/>
        <w:t xml:space="preserve">321.4 </w:t>
      </w:r>
      <w:r>
        <w:rPr>
          <w:i/>
        </w:rPr>
        <w:t xml:space="preserve">Výskyt vody </w:t>
      </w:r>
      <w:r>
        <w:rPr/>
        <w:t xml:space="preserve">AD 1 </w:t>
        <w:br/>
        <w:t xml:space="preserve">321.5 </w:t>
      </w:r>
      <w:r>
        <w:rPr>
          <w:i/>
        </w:rPr>
        <w:t xml:space="preserve">Výskyt cizích pevných těles </w:t>
      </w:r>
      <w:r>
        <w:rPr/>
        <w:t xml:space="preserve">AE 1 </w:t>
        <w:br/>
        <w:t xml:space="preserve">321.6 </w:t>
      </w:r>
      <w:r>
        <w:rPr>
          <w:i/>
        </w:rPr>
        <w:t xml:space="preserve">Výskyt korosivních nebo znečišťujících látek </w:t>
      </w:r>
      <w:r>
        <w:rPr/>
        <w:t xml:space="preserve">AF 1 </w:t>
        <w:br/>
        <w:t xml:space="preserve">321.7 </w:t>
      </w:r>
      <w:r>
        <w:rPr>
          <w:i/>
        </w:rPr>
        <w:t xml:space="preserve">Mechanické namáhání - Ráz </w:t>
      </w:r>
      <w:r>
        <w:rPr/>
        <w:t xml:space="preserve">AG 1 </w:t>
        <w:br/>
        <w:t xml:space="preserve">321.8 </w:t>
      </w:r>
      <w:r>
        <w:rPr>
          <w:i/>
        </w:rPr>
        <w:t xml:space="preserve">Vibrace </w:t>
      </w:r>
      <w:r>
        <w:rPr/>
        <w:t xml:space="preserve">AH 1 </w:t>
        <w:br/>
        <w:t xml:space="preserve">321.9 </w:t>
      </w:r>
      <w:r>
        <w:rPr>
          <w:i/>
        </w:rPr>
        <w:t xml:space="preserve">Ostatní mechanická namáhání </w:t>
      </w:r>
      <w:r>
        <w:rPr/>
        <w:t xml:space="preserve">AJ připravuje se </w:t>
        <w:br/>
        <w:t xml:space="preserve">321.10 </w:t>
      </w:r>
      <w:r>
        <w:rPr>
          <w:i/>
        </w:rPr>
        <w:t xml:space="preserve">Výskyt rostlinstva nebo plísní </w:t>
      </w:r>
      <w:r>
        <w:rPr/>
        <w:t xml:space="preserve">AK 1 </w:t>
        <w:br/>
        <w:t xml:space="preserve">321.11 </w:t>
      </w:r>
      <w:r>
        <w:rPr>
          <w:i/>
        </w:rPr>
        <w:t xml:space="preserve">Výskyt živočichů </w:t>
      </w:r>
      <w:r>
        <w:rPr/>
        <w:t xml:space="preserve">AL 1 </w:t>
        <w:br/>
        <w:t xml:space="preserve">321.12 </w:t>
      </w:r>
      <w:r>
        <w:rPr>
          <w:i/>
        </w:rPr>
        <w:t xml:space="preserve">Elektomagnetická, elektrostatická nebo ionizující působení </w:t>
      </w:r>
      <w:r>
        <w:rPr/>
        <w:t xml:space="preserve">AM 1 </w:t>
        <w:br/>
        <w:t xml:space="preserve">321.13 </w:t>
      </w:r>
      <w:r>
        <w:rPr>
          <w:i/>
        </w:rPr>
        <w:t xml:space="preserve">Intenzita slunečního záření </w:t>
      </w:r>
      <w:r>
        <w:rPr/>
        <w:t xml:space="preserve">AN 1 </w:t>
        <w:br/>
        <w:t xml:space="preserve">321.14 </w:t>
      </w:r>
      <w:r>
        <w:rPr>
          <w:i/>
        </w:rPr>
        <w:t xml:space="preserve">Seizmické účinky </w:t>
      </w:r>
      <w:r>
        <w:rPr/>
        <w:t xml:space="preserve">AP 1 </w:t>
        <w:br/>
        <w:t xml:space="preserve">321.15 </w:t>
      </w:r>
      <w:r>
        <w:rPr>
          <w:i/>
        </w:rPr>
        <w:t xml:space="preserve">Blesková úroveň (Nk) a blesková hustota (Ng) </w:t>
      </w:r>
      <w:r>
        <w:rPr/>
        <w:t xml:space="preserve">AQ 1 </w:t>
        <w:br/>
        <w:t xml:space="preserve">321.16 </w:t>
      </w:r>
      <w:r>
        <w:rPr>
          <w:i/>
        </w:rPr>
        <w:t xml:space="preserve">Pohyb vzduchu </w:t>
      </w:r>
      <w:r>
        <w:rPr/>
        <w:t xml:space="preserve">AR 1 </w:t>
        <w:br/>
        <w:t xml:space="preserve">321.17 </w:t>
      </w:r>
      <w:r>
        <w:rPr>
          <w:i/>
        </w:rPr>
        <w:t xml:space="preserve">Vítr </w:t>
      </w:r>
      <w:r>
        <w:rPr/>
        <w:t xml:space="preserve">AS 1 </w:t>
      </w:r>
    </w:p>
    <w:p>
      <w:pPr>
        <w:pStyle w:val="TextBody"/>
        <w:rPr/>
      </w:pPr>
      <w:r>
        <w:rPr/>
        <w:br/>
      </w:r>
      <w:r>
        <w:rPr>
          <w:b/>
        </w:rPr>
        <w:t xml:space="preserve">322 Využití (B) Kód </w:t>
      </w:r>
    </w:p>
    <w:p>
      <w:pPr>
        <w:pStyle w:val="TextBody"/>
        <w:rPr/>
      </w:pPr>
      <w:r>
        <w:rPr/>
        <w:t xml:space="preserve">322.1 </w:t>
      </w:r>
      <w:r>
        <w:rPr>
          <w:i/>
        </w:rPr>
        <w:t xml:space="preserve">Schopnost osob </w:t>
      </w:r>
      <w:r>
        <w:rPr/>
        <w:t xml:space="preserve">BA 1+2+3 </w:t>
        <w:br/>
        <w:t xml:space="preserve">322.2 </w:t>
      </w:r>
      <w:r>
        <w:rPr>
          <w:i/>
        </w:rPr>
        <w:t xml:space="preserve">Elektrický odpor lidského těla </w:t>
      </w:r>
      <w:r>
        <w:rPr/>
        <w:t xml:space="preserve">BB připravuje se </w:t>
        <w:br/>
        <w:t xml:space="preserve">322.3 </w:t>
      </w:r>
      <w:r>
        <w:rPr>
          <w:i/>
        </w:rPr>
        <w:t xml:space="preserve">Kontakt osob s potenciálem země </w:t>
      </w:r>
      <w:r>
        <w:rPr/>
        <w:t xml:space="preserve">BC 2 </w:t>
        <w:br/>
        <w:t xml:space="preserve">322.4 </w:t>
      </w:r>
      <w:r>
        <w:rPr>
          <w:i/>
        </w:rPr>
        <w:t xml:space="preserve">Podmínky úniku v případě nebezpečí </w:t>
      </w:r>
      <w:r>
        <w:rPr/>
        <w:t xml:space="preserve">BD 1 </w:t>
        <w:br/>
        <w:t xml:space="preserve">322.5 </w:t>
      </w:r>
      <w:r>
        <w:rPr>
          <w:i/>
        </w:rPr>
        <w:t xml:space="preserve">Povaha zpracovávaných nebo skladovaných materiálů </w:t>
      </w:r>
      <w:r>
        <w:rPr/>
        <w:t xml:space="preserve">BE 1 </w:t>
      </w:r>
    </w:p>
    <w:p>
      <w:pPr>
        <w:pStyle w:val="TextBody"/>
        <w:rPr/>
      </w:pPr>
      <w:r>
        <w:rPr/>
        <w:br/>
      </w:r>
      <w:r>
        <w:rPr>
          <w:b/>
        </w:rPr>
        <w:t xml:space="preserve">323 Konstrukce budov Kód </w:t>
      </w:r>
    </w:p>
    <w:p>
      <w:pPr>
        <w:pStyle w:val="TextBody"/>
        <w:rPr/>
      </w:pPr>
      <w:r>
        <w:rPr/>
        <w:t xml:space="preserve">323.1 </w:t>
      </w:r>
      <w:r>
        <w:rPr>
          <w:i/>
        </w:rPr>
        <w:t xml:space="preserve">Stavební materiál </w:t>
      </w:r>
      <w:r>
        <w:rPr/>
        <w:t xml:space="preserve">CA 1 </w:t>
        <w:br/>
        <w:t xml:space="preserve">323.2 </w:t>
      </w:r>
      <w:r>
        <w:rPr>
          <w:i/>
        </w:rPr>
        <w:t xml:space="preserve">Provedení (konstrukce budovy) </w:t>
      </w:r>
      <w:r>
        <w:rPr/>
        <w:t xml:space="preserve">CB 1 </w:t>
      </w:r>
    </w:p>
    <w:p>
      <w:pPr>
        <w:pStyle w:val="TextBody"/>
        <w:rPr>
          <w:i/>
        </w:rPr>
      </w:pPr>
      <w:r>
        <w:rPr>
          <w:i/>
        </w:rPr>
      </w:r>
    </w:p>
    <w:p>
      <w:pPr>
        <w:pStyle w:val="TextBody"/>
        <w:rPr/>
      </w:pPr>
      <w:r>
        <w:rPr/>
        <w:t xml:space="preserve">- V blízkosti umyvadla je </w:t>
      </w:r>
      <w:r>
        <w:rPr>
          <w:b/>
        </w:rPr>
        <w:t>umývací prostor</w:t>
      </w:r>
      <w:r>
        <w:rPr/>
        <w:t xml:space="preserve"> dle ČSN 33 2130 ed.2. </w:t>
        <w:br/>
        <w:t xml:space="preserve">- V prostorách se sprchy je prostor dle ČSN 33 2000-7-701 ed.2. </w:t>
      </w:r>
    </w:p>
    <w:p>
      <w:pPr>
        <w:pStyle w:val="TextBody"/>
        <w:rPr/>
      </w:pPr>
      <w:r>
        <w:rPr/>
        <w:br/>
      </w:r>
      <w:r>
        <w:rPr>
          <w:i/>
        </w:rPr>
        <w:t xml:space="preserve">Datum sepsání protokolu : předseda komise </w:t>
      </w:r>
    </w:p>
    <w:p>
      <w:pPr>
        <w:pStyle w:val="TextBody"/>
        <w:spacing w:before="0" w:after="283"/>
        <w:rPr/>
      </w:pPr>
      <w:r>
        <w:rPr/>
        <w:t xml:space="preserve">20.06. 2019 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Lucida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Arial Unicode MS" w:cs="Lucida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/>
      <w:spacing w:before="240" w:after="283"/>
    </w:pPr>
    <w:rPr>
      <w:rFonts w:ascii="Albany" w:hAnsi="Albany"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">
    <w:name w:val="List"/>
    <w:basedOn w:val="TextBody"/>
    <w:pPr/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LibreOffice/5.2.7.2$Linux_X86_64 LibreOffice_project/20m0$Build-2</Application>
  <Pages>1</Pages>
  <Words>381</Words>
  <Characters>2008</Characters>
  <CharactersWithSpaces>2474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