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0B1BE0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F356C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BC3994" w:rsidRDefault="007A4D3C" w:rsidP="000E01DC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sz w:val="22"/>
          <w:szCs w:val="22"/>
        </w:rPr>
      </w:pPr>
      <w:r w:rsidRPr="000E01DC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>O</w:t>
      </w:r>
      <w:r w:rsidR="00EB723F" w:rsidRPr="000E01DC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>bchodní firma / jméno a příjmení</w:t>
      </w:r>
      <w:r w:rsidRPr="007A4D3C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(doplní dodavatel)</w:t>
      </w:r>
    </w:p>
    <w:p w14:paraId="7BE6CCF1" w14:textId="1A0F0BC2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A4D3C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</w:t>
      </w:r>
      <w:proofErr w:type="gramStart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e-mail:…</w:t>
      </w:r>
      <w:proofErr w:type="gramEnd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1C060C22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06BDD22A" w:rsidR="008F356C" w:rsidRDefault="008246AA" w:rsidP="008246AA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B343F25" w14:textId="77777777" w:rsidR="00F33D60" w:rsidRDefault="00F33D60" w:rsidP="008246AA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2B86D0EE" w14:textId="7A0D965D" w:rsidR="00646D37" w:rsidRPr="00964F90" w:rsidRDefault="002B5142" w:rsidP="00646D37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s názvem </w:t>
      </w:r>
      <w:r w:rsidR="00646D37" w:rsidRPr="00F259CA">
        <w:rPr>
          <w:rFonts w:ascii="Calibri" w:hAnsi="Calibri"/>
          <w:b/>
          <w:bCs/>
          <w:sz w:val="22"/>
          <w:szCs w:val="22"/>
        </w:rPr>
        <w:t>„</w:t>
      </w:r>
      <w:r w:rsidR="006A022F">
        <w:rPr>
          <w:rFonts w:ascii="Calibri" w:hAnsi="Calibri"/>
          <w:b/>
          <w:bCs/>
          <w:sz w:val="22"/>
          <w:szCs w:val="22"/>
        </w:rPr>
        <w:t xml:space="preserve">Defibrilátor </w:t>
      </w:r>
      <w:r w:rsidR="00DA02CF">
        <w:rPr>
          <w:rFonts w:ascii="Calibri" w:hAnsi="Calibri"/>
          <w:b/>
          <w:bCs/>
          <w:sz w:val="22"/>
          <w:szCs w:val="22"/>
        </w:rPr>
        <w:t>s monitorem</w:t>
      </w:r>
      <w:r w:rsidR="006A022F">
        <w:rPr>
          <w:rFonts w:ascii="Calibri" w:hAnsi="Calibri"/>
          <w:b/>
          <w:bCs/>
          <w:sz w:val="22"/>
          <w:szCs w:val="22"/>
        </w:rPr>
        <w:t>“</w:t>
      </w:r>
      <w:r w:rsidR="00646D37" w:rsidRPr="003018F7">
        <w:rPr>
          <w:rFonts w:ascii="Calibri" w:hAnsi="Calibr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„ZZVZ“).  Evidenční číslo zakázky ve věstníku veřejných zakázek </w:t>
      </w:r>
      <w:r w:rsidR="00646D37" w:rsidRPr="007B72C6">
        <w:rPr>
          <w:rFonts w:asciiTheme="minorHAnsi" w:hAnsiTheme="minorHAnsi"/>
          <w:i/>
          <w:iCs/>
          <w:sz w:val="22"/>
          <w:szCs w:val="22"/>
          <w:shd w:val="clear" w:color="auto" w:fill="D9D9D9" w:themeFill="background1" w:themeFillShade="D9"/>
        </w:rPr>
        <w:t>………………. (bude doplněno před podpisem smlouvy)</w:t>
      </w:r>
    </w:p>
    <w:p w14:paraId="4BF662C5" w14:textId="6E0A1678" w:rsidR="00EB723F" w:rsidRPr="00214E72" w:rsidRDefault="00EB723F" w:rsidP="00646D37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3D0B99D4" w14:textId="378CC4F8" w:rsidR="00DD5CB6" w:rsidRPr="00DD5CB6" w:rsidRDefault="006A36A9" w:rsidP="00796E72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A257C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A257C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020322" w:rsidRPr="00A257C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022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……………………………………</w:t>
      </w:r>
      <w:proofErr w:type="gramStart"/>
      <w:r w:rsidR="006A022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…….</w:t>
      </w:r>
      <w:proofErr w:type="gramEnd"/>
      <w:r w:rsidR="006A022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B76C5E" w:rsidRPr="00D408D4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</w:t>
      </w:r>
      <w:r w:rsidR="00B76C5E" w:rsidRPr="00145ED2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název a typové </w:t>
      </w:r>
      <w:proofErr w:type="spellStart"/>
      <w:r w:rsidR="00B76C5E" w:rsidRPr="00145ED2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označení</w:t>
      </w:r>
      <w:r w:rsidR="00DA02CF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,počet</w:t>
      </w:r>
      <w:proofErr w:type="spellEnd"/>
      <w:r w:rsidR="00DA02CF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kusů</w:t>
      </w:r>
      <w:r w:rsidR="00B76C5E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- </w:t>
      </w:r>
      <w:r w:rsidR="00B76C5E" w:rsidRPr="00145ED2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doplní dodavatel)</w:t>
      </w:r>
      <w:r w:rsidR="00B76C5E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B76C5E" w:rsidRPr="00B76C5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="00B76C5E" w:rsidRPr="00B2403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včetně veškerého příslušenství, </w:t>
      </w:r>
      <w:r w:rsidR="00DD5CB6" w:rsidRPr="00DD5CB6">
        <w:rPr>
          <w:rFonts w:ascii="Calibri" w:hAnsi="Calibri" w:cs="Calibri"/>
          <w:sz w:val="22"/>
          <w:szCs w:val="22"/>
        </w:rPr>
        <w:t xml:space="preserve"> </w:t>
      </w:r>
      <w:r w:rsidR="00DD5CB6">
        <w:rPr>
          <w:rFonts w:ascii="Calibri" w:hAnsi="Calibri" w:cs="Calibri"/>
          <w:sz w:val="22"/>
          <w:szCs w:val="22"/>
        </w:rPr>
        <w:t>jehož specifikace</w:t>
      </w:r>
      <w:r w:rsidR="00DD5CB6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</w:t>
      </w:r>
      <w:r w:rsidR="0020169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D4607A4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32FB5EDA" w14:textId="77777777" w:rsidR="001A5DAF" w:rsidRPr="001A5DAF" w:rsidRDefault="001A5DAF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A5DAF"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 zadávacímu řízení</w:t>
      </w:r>
      <w:r>
        <w:rPr>
          <w:rFonts w:ascii="Calibri" w:hAnsi="Calibri" w:cs="Calibri"/>
          <w:sz w:val="22"/>
          <w:szCs w:val="22"/>
        </w:rPr>
        <w:t>,</w:t>
      </w:r>
      <w:r w:rsidRPr="001A5DAF">
        <w:rPr>
          <w:rFonts w:ascii="Calibri" w:hAnsi="Calibri" w:cs="Calibri"/>
          <w:sz w:val="22"/>
          <w:szCs w:val="22"/>
        </w:rPr>
        <w:t xml:space="preserve"> musí splňovat zákon č. 268/2014 Sb., o zdravotnických prostředcích, v platném znění.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724B96BF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uvedení všech položek dodávky do plného provozu zahrnující</w:t>
      </w:r>
    </w:p>
    <w:p w14:paraId="58E3047D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firstLine="141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odzkoušení a ověření správné funkčnosti, případně seřízení, předvedení plné funkčnosti,</w:t>
      </w:r>
    </w:p>
    <w:p w14:paraId="183006DB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left="1701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provedení zkušebního provozu jakož i provedení jiných úkonů a činností nutných k tomu, aby dodávka zařízení mohla plnit sjednaný či obvyklý účel,</w:t>
      </w:r>
    </w:p>
    <w:p w14:paraId="038B0D61" w14:textId="77777777" w:rsidR="00836966" w:rsidRDefault="00836966" w:rsidP="0083696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provedení veškerých předepsaných zkoušek včetně vystavení dokladů o jejich provedení dle pokynů výrobce, dle zákona o zdravotnických prostředcích, doložení příslušných atestů, certifikátů, prohlášení o shodě v souladu se zákonem č. 22/1997 Sb., o technických požadavcích na výrobky, v platném znění, a příslušnými prováděcími předpisy ke zdravotnickým prostředkům, harmonizovaným českým technickým normám a ostatním ČSN a jejich předání zadavateli v českém jazyce; </w:t>
      </w:r>
    </w:p>
    <w:p w14:paraId="036AF769" w14:textId="2F30F09A" w:rsidR="00836966" w:rsidRPr="00AB34FE" w:rsidRDefault="00836966" w:rsidP="00AB34FE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hAnsi="Calibri" w:cs="Calibri"/>
          <w:sz w:val="22"/>
          <w:szCs w:val="22"/>
        </w:rPr>
        <w:t>provedení zaškolení (instruktáže) obsluhy včetně vyhotovení zápisu.</w:t>
      </w:r>
    </w:p>
    <w:p w14:paraId="7743EA87" w14:textId="33729E96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435B677F" w14:textId="696C2912" w:rsidR="006A36A9" w:rsidRPr="00B20557" w:rsidRDefault="006A36A9" w:rsidP="00B20557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podobě,</w:t>
      </w:r>
    </w:p>
    <w:p w14:paraId="47EB40FC" w14:textId="336328EF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7E262BEB" w14:textId="103FCCD7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instruktáže,</w:t>
      </w:r>
    </w:p>
    <w:p w14:paraId="7AA213B7" w14:textId="5691BC1E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 instruktáži zaměstnanců ve smyslu zákona č. 268/2014 Sb., o zdravotnických prostředcích v platném znění,</w:t>
      </w:r>
    </w:p>
    <w:p w14:paraId="249E42B6" w14:textId="10FD352D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 zdravotnického prostředku,</w:t>
      </w:r>
    </w:p>
    <w:p w14:paraId="5CEDAC61" w14:textId="06CCA04A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kopii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záruční list,</w:t>
      </w:r>
    </w:p>
    <w:p w14:paraId="7994F954" w14:textId="77777777" w:rsidR="00E91E0D" w:rsidRDefault="006A36A9" w:rsidP="00E91E0D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prohlášení o shodě anebo deklaraci konformity. Prodávající dále vydá samostatné prohlášení o třídě zboží (I,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prodávajícího.</w:t>
      </w:r>
    </w:p>
    <w:p w14:paraId="41CAE424" w14:textId="7927C072" w:rsidR="006A36A9" w:rsidRPr="00AB34FE" w:rsidRDefault="00E91E0D" w:rsidP="00FF70FC">
      <w:pPr>
        <w:pStyle w:val="Zkladntextodsazen"/>
        <w:widowControl w:val="0"/>
        <w:tabs>
          <w:tab w:val="clear" w:pos="426"/>
          <w:tab w:val="left" w:pos="709"/>
        </w:tabs>
        <w:suppressAutoHyphens/>
        <w:spacing w:after="60"/>
        <w:ind w:firstLine="0"/>
        <w:contextualSpacing/>
        <w:rPr>
          <w:rFonts w:eastAsia="SimSun"/>
          <w:kern w:val="1"/>
          <w:lang w:eastAsia="hi-IN" w:bidi="hi-IN"/>
        </w:rPr>
      </w:pPr>
      <w:r w:rsidRPr="00AB34FE">
        <w:rPr>
          <w:rFonts w:eastAsia="SimSun"/>
          <w:kern w:val="1"/>
          <w:lang w:eastAsia="hi-IN" w:bidi="hi-IN"/>
        </w:rPr>
        <w:t>Prodávající je povinen při dodání zboží splnit ostatní závazné podmínky v souladu s platnými a účinnými právními předpisy.</w:t>
      </w:r>
    </w:p>
    <w:p w14:paraId="1F9F20B5" w14:textId="387496D3" w:rsidR="006A36A9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předmětu plnění je také provádění všech zákonem stanovených prohlídek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dobu záruky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zejména pak pravidelné odborné údržby dle zákona č. 268/2014 Sb., o zdravotnických prostředcích a o změně některých souvisejících zákonů, ve znění pozdějších předpisů (dále jen „zákon č. 268/2014 Sb.“)</w:t>
      </w:r>
      <w:r w:rsidR="00D7201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B67B3F" w14:textId="229FDDF8" w:rsidR="007E4749" w:rsidRPr="007D4423" w:rsidRDefault="007E4749" w:rsidP="00796E72">
      <w:pPr>
        <w:widowControl w:val="0"/>
        <w:numPr>
          <w:ilvl w:val="0"/>
          <w:numId w:val="16"/>
        </w:numPr>
        <w:tabs>
          <w:tab w:val="left" w:pos="851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 obalů a odpadu souvisejících s dodávkou předmětu plnění.</w:t>
      </w:r>
    </w:p>
    <w:p w14:paraId="11A30245" w14:textId="77777777" w:rsidR="006A36A9" w:rsidRPr="0010599D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59AD780" w14:textId="77777777" w:rsidR="006A36A9" w:rsidRPr="0010599D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77777777" w:rsidR="008908D8" w:rsidRPr="00546F8A" w:rsidRDefault="006A36A9" w:rsidP="005300DB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 jsou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567485DD" w14:textId="2AF2BBCC" w:rsidR="006A4564" w:rsidRDefault="00733BF8" w:rsidP="006A4564">
      <w:pPr>
        <w:spacing w:line="276" w:lineRule="auto"/>
        <w:ind w:left="851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 w:rsidR="006A4564" w:rsidRPr="006A4564">
        <w:rPr>
          <w:rFonts w:ascii="Calibri" w:eastAsia="Calibri" w:hAnsi="Calibri" w:cs="Calibri"/>
          <w:b/>
          <w:bCs/>
          <w:sz w:val="22"/>
          <w:szCs w:val="22"/>
        </w:rPr>
        <w:t>Orlickoústecká nemocnice, Čs</w:t>
      </w:r>
      <w:r w:rsidR="00614135">
        <w:rPr>
          <w:rFonts w:ascii="Calibri" w:eastAsia="Calibri" w:hAnsi="Calibri" w:cs="Calibri"/>
          <w:b/>
          <w:bCs/>
          <w:sz w:val="22"/>
          <w:szCs w:val="22"/>
        </w:rPr>
        <w:t>l</w:t>
      </w:r>
      <w:r w:rsidR="006A4564" w:rsidRPr="006A4564">
        <w:rPr>
          <w:rFonts w:ascii="Calibri" w:eastAsia="Calibri" w:hAnsi="Calibri" w:cs="Calibri"/>
          <w:b/>
          <w:bCs/>
          <w:sz w:val="22"/>
          <w:szCs w:val="22"/>
        </w:rPr>
        <w:t xml:space="preserve">. </w:t>
      </w:r>
      <w:r w:rsidR="00614135">
        <w:rPr>
          <w:rFonts w:ascii="Calibri" w:eastAsia="Calibri" w:hAnsi="Calibri" w:cs="Calibri"/>
          <w:b/>
          <w:bCs/>
          <w:sz w:val="22"/>
          <w:szCs w:val="22"/>
        </w:rPr>
        <w:t>a</w:t>
      </w:r>
      <w:r w:rsidR="006A4564" w:rsidRPr="006A4564">
        <w:rPr>
          <w:rFonts w:ascii="Calibri" w:eastAsia="Calibri" w:hAnsi="Calibri" w:cs="Calibri"/>
          <w:b/>
          <w:bCs/>
          <w:sz w:val="22"/>
          <w:szCs w:val="22"/>
        </w:rPr>
        <w:t>rmády 1076, 562 18 Ústí nad Orlicí</w:t>
      </w:r>
    </w:p>
    <w:p w14:paraId="3D1B58DA" w14:textId="7E324B4B" w:rsidR="00F251D3" w:rsidRPr="006A4564" w:rsidRDefault="00F251D3" w:rsidP="006A4564">
      <w:pPr>
        <w:spacing w:line="276" w:lineRule="auto"/>
        <w:ind w:left="851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  Pardubická nemocnice, Kyjevská 44, 532 </w:t>
      </w:r>
      <w:proofErr w:type="gramStart"/>
      <w:r>
        <w:rPr>
          <w:rFonts w:ascii="Calibri" w:eastAsia="Calibri" w:hAnsi="Calibri" w:cs="Calibri"/>
          <w:b/>
          <w:bCs/>
          <w:sz w:val="22"/>
          <w:szCs w:val="22"/>
        </w:rPr>
        <w:t>03  Pardubice</w:t>
      </w:r>
      <w:proofErr w:type="gramEnd"/>
    </w:p>
    <w:p w14:paraId="4E0F5029" w14:textId="3A39CCFA" w:rsidR="00DA02CF" w:rsidRPr="00DA02CF" w:rsidRDefault="00F9079D" w:rsidP="006A4564">
      <w:pPr>
        <w:pStyle w:val="PODKAPITOLA"/>
        <w:widowControl w:val="0"/>
        <w:numPr>
          <w:ilvl w:val="0"/>
          <w:numId w:val="33"/>
        </w:numPr>
        <w:tabs>
          <w:tab w:val="left" w:pos="426"/>
        </w:tabs>
        <w:suppressAutoHyphens/>
        <w:spacing w:before="120"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Zboží </w:t>
      </w:r>
      <w:r w:rsidR="00DA02CF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bude do místa plnění dodáno následovně:</w:t>
      </w:r>
      <w:r w:rsidRPr="006A4564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 </w:t>
      </w:r>
    </w:p>
    <w:p w14:paraId="2020811E" w14:textId="77777777" w:rsidR="00DA02CF" w:rsidRPr="00DA02CF" w:rsidRDefault="00DA02CF" w:rsidP="00DA02CF">
      <w:pPr>
        <w:pStyle w:val="Odstavecseseznamem"/>
        <w:numPr>
          <w:ilvl w:val="0"/>
          <w:numId w:val="38"/>
        </w:numPr>
        <w:tabs>
          <w:tab w:val="left" w:pos="1276"/>
        </w:tabs>
        <w:suppressAutoHyphens/>
        <w:spacing w:after="60" w:line="276" w:lineRule="auto"/>
        <w:ind w:left="1276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DA02CF">
        <w:rPr>
          <w:rFonts w:ascii="Calibri" w:hAnsi="Calibri" w:cs="Calibri"/>
          <w:b/>
          <w:sz w:val="22"/>
          <w:szCs w:val="22"/>
        </w:rPr>
        <w:t xml:space="preserve">1 ks defibrilátoru s monitorem pro INT JIP Pardubické nemocnice bude dodán nejpozději do 5 týdnů od nabytí účinnosti kupní smlouvy </w:t>
      </w:r>
    </w:p>
    <w:p w14:paraId="0943C635" w14:textId="07ECBD22" w:rsidR="00DA02CF" w:rsidRPr="00DA02CF" w:rsidRDefault="00DA02CF" w:rsidP="00DA02CF">
      <w:pPr>
        <w:pStyle w:val="Odstavecseseznamem"/>
        <w:numPr>
          <w:ilvl w:val="0"/>
          <w:numId w:val="38"/>
        </w:numPr>
        <w:tabs>
          <w:tab w:val="left" w:pos="1276"/>
        </w:tabs>
        <w:suppressAutoHyphens/>
        <w:spacing w:line="276" w:lineRule="auto"/>
        <w:ind w:left="1276" w:hanging="425"/>
        <w:jc w:val="both"/>
        <w:rPr>
          <w:rFonts w:ascii="Calibri" w:hAnsi="Calibri" w:cs="Calibri"/>
          <w:bCs/>
          <w:sz w:val="22"/>
          <w:szCs w:val="22"/>
        </w:rPr>
      </w:pPr>
      <w:r w:rsidRPr="00DA02CF">
        <w:rPr>
          <w:rFonts w:ascii="Calibri" w:hAnsi="Calibri" w:cs="Calibri"/>
          <w:b/>
          <w:sz w:val="22"/>
          <w:szCs w:val="22"/>
        </w:rPr>
        <w:t>7 ks defibrilátorů s monitorem pro centrální urgentní příjem Orlickoústecké nemocnice bude dodáno na výzvu kupujícího do 5 týdnů od data, které bude kupujícím uvedeno v písemné výzvě jako první možné pro začátek instalace. Předpokládaný termín dodání do Orlickoústecké nemocnice je 1.Q roku 2022.</w:t>
      </w:r>
    </w:p>
    <w:p w14:paraId="4AD92952" w14:textId="08131D76" w:rsidR="00DA02CF" w:rsidRPr="00DA02CF" w:rsidRDefault="00DA02CF" w:rsidP="00CF6DD6">
      <w:pPr>
        <w:pStyle w:val="PODKAPITOLA"/>
        <w:widowControl w:val="0"/>
        <w:numPr>
          <w:ilvl w:val="0"/>
          <w:numId w:val="33"/>
        </w:numPr>
        <w:tabs>
          <w:tab w:val="left" w:pos="426"/>
        </w:tabs>
        <w:suppressAutoHyphens/>
        <w:spacing w:before="120" w:after="60"/>
        <w:ind w:left="709" w:hanging="425"/>
        <w:jc w:val="both"/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</w:pPr>
      <w:r w:rsidRPr="00DA02CF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Písemná výzva podle odstavce 2 tohoto článku bude kupujícím zaslána prodávajícímu elektronickou poštou na e-mail prodávajícího uvedený v záhlaví této smlouvy.</w:t>
      </w:r>
    </w:p>
    <w:p w14:paraId="1497898A" w14:textId="03A778FD" w:rsidR="004A44B7" w:rsidRPr="006A4564" w:rsidRDefault="006A36A9" w:rsidP="00CF6DD6">
      <w:pPr>
        <w:pStyle w:val="PODKAPITOLA"/>
        <w:widowControl w:val="0"/>
        <w:numPr>
          <w:ilvl w:val="0"/>
          <w:numId w:val="33"/>
        </w:numPr>
        <w:tabs>
          <w:tab w:val="left" w:pos="426"/>
        </w:tabs>
        <w:suppressAutoHyphens/>
        <w:spacing w:before="120" w:after="60"/>
        <w:ind w:left="709" w:hanging="425"/>
        <w:jc w:val="both"/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Prodávající bude </w:t>
      </w:r>
      <w:r w:rsidRPr="00F251D3">
        <w:rPr>
          <w:rFonts w:ascii="Calibri" w:eastAsia="SimSun" w:hAnsi="Calibri" w:cs="Calibri"/>
          <w:b w:val="0"/>
          <w:bCs w:val="0"/>
          <w:color w:val="auto"/>
          <w:kern w:val="1"/>
          <w:sz w:val="22"/>
          <w:szCs w:val="22"/>
          <w:lang w:eastAsia="hi-IN" w:bidi="hi-IN"/>
        </w:rPr>
        <w:t xml:space="preserve">informovat kupujícího o </w:t>
      </w:r>
      <w:r w:rsidRPr="006A4564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přesném termínu dodávky zboží, a to nejpozději </w:t>
      </w:r>
      <w:r w:rsidR="007E4749" w:rsidRPr="006A4564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5 dnů</w:t>
      </w:r>
      <w:r w:rsidRPr="006A4564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 před realizací dodávky. Kontaktní osoba</w:t>
      </w:r>
      <w:r w:rsidR="00F1156D" w:rsidRPr="006A4564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EB037BA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06600FC8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0C859A7" w14:textId="2E4A0E20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01244FD0" w14:textId="6A0CAA61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9168081" w14:textId="02F13365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1F4CB992" w14:textId="77777777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záruční servis a seznámení zaměstnanců uživatele s obsluhou.</w:t>
      </w:r>
    </w:p>
    <w:p w14:paraId="59EA628F" w14:textId="7A442345" w:rsidR="00CB09EF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30A153D" w14:textId="77777777" w:rsidR="00307E66" w:rsidRPr="00614135" w:rsidRDefault="00307E66" w:rsidP="00307E66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77777777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jednorázově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</w:p>
    <w:p w14:paraId="37A52AE8" w14:textId="77777777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8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06942151" w:rsidR="006A36A9" w:rsidRPr="007D4423" w:rsidRDefault="00B20557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B20557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popis dodávky/ práce, přesné označení předmětu plnění</w:t>
      </w:r>
      <w:r w:rsidR="006A36A9"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305B459E" w:rsidR="006A36A9" w:rsidRPr="007D4423" w:rsidRDefault="00B20557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>datum vystavení a datum splatnosti</w:t>
      </w:r>
      <w:r w:rsidR="006A36A9"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3C3FCA47" w14:textId="32442D85" w:rsidR="006A36A9" w:rsidRPr="00B20557" w:rsidRDefault="006A36A9" w:rsidP="00B20557">
      <w:pPr>
        <w:widowControl w:val="0"/>
        <w:numPr>
          <w:ilvl w:val="0"/>
          <w:numId w:val="19"/>
        </w:numPr>
        <w:suppressAutoHyphens/>
        <w:spacing w:after="60"/>
        <w:ind w:left="1315" w:hanging="357"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</w:t>
      </w:r>
      <w:r w:rsidR="00B20557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 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úhradě</w:t>
      </w:r>
      <w:r w:rsidR="00B20557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.</w:t>
      </w:r>
    </w:p>
    <w:p w14:paraId="09035797" w14:textId="77777777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lastRenderedPageBreak/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546F8A">
      <w:pPr>
        <w:pStyle w:val="Odstavecseseznamem"/>
        <w:numPr>
          <w:ilvl w:val="0"/>
          <w:numId w:val="6"/>
        </w:numPr>
        <w:ind w:hanging="436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7777777" w:rsidR="008E76A1" w:rsidRPr="00F1156D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597DD47E" w14:textId="7E3DA16E" w:rsidR="008E76A1" w:rsidRDefault="008E76A1" w:rsidP="00B20557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0FA3F543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F837E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2A648F9A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24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0573B19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FE35B7A" w14:textId="2039149D" w:rsidR="00BA75DD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(bezpečnostní technické kontroly,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 a v souladu se zákonem č. 268/2014 Sb. a platných norem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servisní a preventivní prohlídky),</w:t>
      </w:r>
    </w:p>
    <w:p w14:paraId="0D830574" w14:textId="36372CDB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servisní prohlídky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zkoušky všech součástí zboží a jejich příslušenství,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dle doporučení výrobce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7C8F5AC7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1941F74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33D517E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pracovních cyklů na daném zboží, tak aby byla po celou dobu záruky zajištěna plná funkčnost zboží.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Servisní kontrola dle tohoto odstavce zahrnuje servisní úkony, zejména technickou podporu, práci a cestu technika, servisní prohlídky apod.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00479A49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4C6FC0B0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059539DE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D350A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obdržení reklamace, považují to obě strany za podstatné porušení smlouvy a kupující (uživatel) může odstranění vady zajistit u jiné odborné osoby na náklady prodávajícího.</w:t>
      </w:r>
    </w:p>
    <w:p w14:paraId="3880DA47" w14:textId="2E40F1C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14EB196C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zboží, zdravotnickém prostředku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výše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040E5677" w:rsidR="003C1938" w:rsidRPr="003A320F" w:rsidRDefault="003C1938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</w:t>
      </w:r>
      <w:r w:rsid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1A5EE351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55F686DC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proofErr w:type="gramStart"/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06526113" w:rsidR="006A36A9" w:rsidRPr="007D4423" w:rsidRDefault="000A0FF3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Při nedodržení periodického termínu BTK nebo součtu reakční doby a doby odstranění závady ze strany dodavatele je kupující oprávněn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lastRenderedPageBreak/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7D4423" w:rsidRDefault="00104420" w:rsidP="00A36F2B">
      <w:pPr>
        <w:pStyle w:val="Odstavecseseznamem"/>
        <w:tabs>
          <w:tab w:val="left" w:pos="-7513"/>
        </w:tabs>
        <w:spacing w:after="120" w:line="276" w:lineRule="auto"/>
        <w:ind w:left="426" w:hanging="425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212D88A8" w14:textId="77777777" w:rsid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</w:t>
      </w:r>
      <w:r w:rsidR="006A283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 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 souladu s § 6 odst. 3 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znění pozdějších předpisů,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dnem jejího podpisu oběma smluvními stranami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</w:p>
    <w:p w14:paraId="2741BCAE" w14:textId="77777777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1E019B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48117020" w14:textId="77777777" w:rsidR="00061C01" w:rsidRDefault="00061C01" w:rsidP="007D66F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0" w:name="_Hlk20150622"/>
    </w:p>
    <w:p w14:paraId="56CB7E46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135C479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1D85CEB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E033324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C014A27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D9E25C2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4558A72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E4112F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EB04270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E620B0A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F26F3DA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CD90EE7" w14:textId="77777777" w:rsidR="00CB5CDE" w:rsidRDefault="00CB5CD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3465B4E2" w:rsidR="00104420" w:rsidRPr="00614135" w:rsidRDefault="006A36A9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0"/>
    </w:p>
    <w:p w14:paraId="0028B907" w14:textId="77777777" w:rsidR="006A36A9" w:rsidRPr="0020169F" w:rsidRDefault="006A36A9" w:rsidP="007D66F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1FF021D3" w:rsidR="001314A4" w:rsidRPr="007D66FE" w:rsidRDefault="00B768F5" w:rsidP="007D66F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1" w:name="_Hlk20150583"/>
      <w:r w:rsidR="007861BF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přístrojového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vybavení</w:t>
      </w: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FAF5A3B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525957A" w14:textId="0DE42F88" w:rsidR="00CB5CDE" w:rsidRDefault="00CB5CD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6002F74" w14:textId="77777777" w:rsidR="00CB5CDE" w:rsidRPr="00B90A24" w:rsidRDefault="00CB5CD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64252A58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77777777" w:rsidR="007D66FE" w:rsidRPr="00B90A24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09C8D84" w14:textId="77777777" w:rsidR="00614135" w:rsidRDefault="00614135" w:rsidP="00710649">
      <w:pPr>
        <w:rPr>
          <w:rFonts w:ascii="Calibri" w:hAnsi="Calibri" w:cs="Calibri"/>
          <w:bCs/>
          <w:sz w:val="22"/>
          <w:szCs w:val="22"/>
        </w:rPr>
      </w:pPr>
    </w:p>
    <w:p w14:paraId="1D1FEB34" w14:textId="77777777" w:rsidR="007D66FE" w:rsidRPr="00B90A24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20CBC776" w14:textId="471BEE46" w:rsidR="0020169F" w:rsidRDefault="00061C01" w:rsidP="00614135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1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50E5503E" w14:textId="77777777" w:rsidR="0020169F" w:rsidRDefault="0020169F" w:rsidP="007102D5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7FDF711E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5229331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D67B1FF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7D49873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68E5190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507A61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0C3D953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DDC34CE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825A492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A4EDC4E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E2C12EF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077E6F3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B1D0243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38CAC4E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210A545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F43F32C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AB18693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D7074A5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8B23AED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7EAA085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C6EA3FE" w14:textId="77777777" w:rsidR="00CB5CDE" w:rsidRDefault="00CB5CD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03B83B1" w14:textId="4F1CBC3F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D02334" w:rsidRPr="007D66FE">
        <w:rPr>
          <w:rFonts w:asciiTheme="minorHAnsi" w:hAnsiTheme="minorHAnsi" w:cstheme="minorHAnsi"/>
          <w:b/>
        </w:rPr>
        <w:t>: Dílčí specifikace ceny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985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701"/>
        <w:gridCol w:w="1418"/>
        <w:gridCol w:w="1701"/>
      </w:tblGrid>
      <w:tr w:rsidR="00D02334" w:rsidRPr="00B715FE" w14:paraId="5D9E4BFC" w14:textId="77777777" w:rsidTr="006A4564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D02334" w:rsidRPr="00B715FE" w14:paraId="7FF714A6" w14:textId="77777777" w:rsidTr="006A4564">
        <w:trPr>
          <w:trHeight w:val="1723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FD5B" w14:textId="77777777" w:rsidR="00D02334" w:rsidRDefault="00D02334" w:rsidP="00B51F24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655ABB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356AD7F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F4ABAC0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0EB3AE2" w14:textId="77777777" w:rsidR="00D02334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B3EAF90" w14:textId="77777777" w:rsidR="00D02334" w:rsidRPr="002557A7" w:rsidRDefault="00D02334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77777777" w:rsidR="00D02334" w:rsidRPr="00B90A24" w:rsidRDefault="00D02334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D02334" w:rsidRPr="00B90A24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5B40A570" w14:textId="5E1769AE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lastRenderedPageBreak/>
        <w:t xml:space="preserve">Příloha č. 2: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7861BF">
        <w:rPr>
          <w:rFonts w:ascii="Calibri" w:hAnsi="Calibri" w:cs="Calibri"/>
          <w:b/>
          <w:bCs/>
        </w:rPr>
        <w:t>přístrojového</w:t>
      </w:r>
      <w:r w:rsidR="00CB3557">
        <w:rPr>
          <w:rFonts w:ascii="Calibri" w:hAnsi="Calibri" w:cs="Calibri"/>
          <w:b/>
          <w:bCs/>
        </w:rPr>
        <w:t xml:space="preserve"> vybavení</w:t>
      </w:r>
    </w:p>
    <w:sectPr w:rsidR="00D02334" w:rsidRPr="00B071C9" w:rsidSect="00614135">
      <w:headerReference w:type="default" r:id="rId9"/>
      <w:footerReference w:type="default" r:id="rId10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DCE3E" w14:textId="77777777" w:rsidR="00965C19" w:rsidRDefault="00965C19" w:rsidP="009B0C36">
      <w:r>
        <w:separator/>
      </w:r>
    </w:p>
  </w:endnote>
  <w:endnote w:type="continuationSeparator" w:id="0">
    <w:p w14:paraId="758D64AC" w14:textId="77777777" w:rsidR="00965C19" w:rsidRDefault="00965C1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0D738A07" w14:textId="4E3FF0B7" w:rsidR="00061C01" w:rsidRPr="00532F40" w:rsidRDefault="00061C01" w:rsidP="00061C01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</w:p>
      <w:p w14:paraId="77DE50D2" w14:textId="3C93E37F" w:rsidR="005B6B38" w:rsidRPr="00532F40" w:rsidRDefault="00532F40" w:rsidP="00BC190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Pr="00532F40">
          <w:rPr>
            <w:rFonts w:ascii="Calibri" w:hAnsi="Calibri" w:cs="Calibri"/>
            <w:sz w:val="22"/>
            <w:szCs w:val="22"/>
          </w:rPr>
          <w:t xml:space="preserve"> </w:t>
        </w: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87513" w14:textId="77777777" w:rsidR="00965C19" w:rsidRDefault="00965C19" w:rsidP="009B0C36">
      <w:r>
        <w:separator/>
      </w:r>
    </w:p>
  </w:footnote>
  <w:footnote w:type="continuationSeparator" w:id="0">
    <w:p w14:paraId="4E57130B" w14:textId="77777777" w:rsidR="00965C19" w:rsidRDefault="00965C1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47B6F" w14:textId="7EA360D7" w:rsidR="000A0FF3" w:rsidRPr="00020322" w:rsidRDefault="00284731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7BB5E425">
          <wp:simplePos x="0" y="0"/>
          <wp:positionH relativeFrom="margin">
            <wp:posOffset>3841750</wp:posOffset>
          </wp:positionH>
          <wp:positionV relativeFrom="paragraph">
            <wp:posOffset>-268605</wp:posOffset>
          </wp:positionV>
          <wp:extent cx="2149200" cy="576000"/>
          <wp:effectExtent l="0" t="0" r="381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2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75F9E"/>
    <w:multiLevelType w:val="hybridMultilevel"/>
    <w:tmpl w:val="AE9E7B5C"/>
    <w:lvl w:ilvl="0" w:tplc="77D25A0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FF7315"/>
    <w:multiLevelType w:val="hybridMultilevel"/>
    <w:tmpl w:val="9DBEF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B6ABC"/>
    <w:multiLevelType w:val="hybridMultilevel"/>
    <w:tmpl w:val="0F989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83181"/>
    <w:multiLevelType w:val="hybridMultilevel"/>
    <w:tmpl w:val="B7A6DF72"/>
    <w:lvl w:ilvl="0" w:tplc="DA9078B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6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8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6" w15:restartNumberingAfterBreak="0">
    <w:nsid w:val="7F0E1B77"/>
    <w:multiLevelType w:val="hybridMultilevel"/>
    <w:tmpl w:val="95E0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27"/>
  </w:num>
  <w:num w:numId="4">
    <w:abstractNumId w:val="11"/>
  </w:num>
  <w:num w:numId="5">
    <w:abstractNumId w:val="2"/>
  </w:num>
  <w:num w:numId="6">
    <w:abstractNumId w:val="10"/>
  </w:num>
  <w:num w:numId="7">
    <w:abstractNumId w:val="16"/>
  </w:num>
  <w:num w:numId="8">
    <w:abstractNumId w:val="35"/>
  </w:num>
  <w:num w:numId="9">
    <w:abstractNumId w:val="6"/>
  </w:num>
  <w:num w:numId="10">
    <w:abstractNumId w:val="28"/>
  </w:num>
  <w:num w:numId="11">
    <w:abstractNumId w:val="13"/>
  </w:num>
  <w:num w:numId="12">
    <w:abstractNumId w:val="25"/>
  </w:num>
  <w:num w:numId="13">
    <w:abstractNumId w:val="21"/>
  </w:num>
  <w:num w:numId="14">
    <w:abstractNumId w:val="29"/>
  </w:num>
  <w:num w:numId="15">
    <w:abstractNumId w:val="1"/>
  </w:num>
  <w:num w:numId="16">
    <w:abstractNumId w:val="8"/>
  </w:num>
  <w:num w:numId="17">
    <w:abstractNumId w:val="26"/>
  </w:num>
  <w:num w:numId="18">
    <w:abstractNumId w:val="9"/>
  </w:num>
  <w:num w:numId="19">
    <w:abstractNumId w:val="24"/>
  </w:num>
  <w:num w:numId="20">
    <w:abstractNumId w:val="4"/>
  </w:num>
  <w:num w:numId="21">
    <w:abstractNumId w:val="20"/>
  </w:num>
  <w:num w:numId="22">
    <w:abstractNumId w:val="3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1"/>
  </w:num>
  <w:num w:numId="28">
    <w:abstractNumId w:val="17"/>
  </w:num>
  <w:num w:numId="29">
    <w:abstractNumId w:val="22"/>
  </w:num>
  <w:num w:numId="30">
    <w:abstractNumId w:val="14"/>
  </w:num>
  <w:num w:numId="31">
    <w:abstractNumId w:val="5"/>
  </w:num>
  <w:num w:numId="32">
    <w:abstractNumId w:val="30"/>
  </w:num>
  <w:num w:numId="33">
    <w:abstractNumId w:val="3"/>
  </w:num>
  <w:num w:numId="34">
    <w:abstractNumId w:val="36"/>
  </w:num>
  <w:num w:numId="35">
    <w:abstractNumId w:val="19"/>
  </w:num>
  <w:num w:numId="36">
    <w:abstractNumId w:val="7"/>
  </w:num>
  <w:num w:numId="37">
    <w:abstractNumId w:val="12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31235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C73C5"/>
    <w:rsid w:val="000D6C9D"/>
    <w:rsid w:val="000E01DC"/>
    <w:rsid w:val="000F00E4"/>
    <w:rsid w:val="000F2827"/>
    <w:rsid w:val="00101A54"/>
    <w:rsid w:val="001041C2"/>
    <w:rsid w:val="00104420"/>
    <w:rsid w:val="0010599D"/>
    <w:rsid w:val="001142B6"/>
    <w:rsid w:val="00116A0C"/>
    <w:rsid w:val="00120351"/>
    <w:rsid w:val="00130506"/>
    <w:rsid w:val="001314A4"/>
    <w:rsid w:val="00133407"/>
    <w:rsid w:val="001516CF"/>
    <w:rsid w:val="00157F1E"/>
    <w:rsid w:val="00162D7E"/>
    <w:rsid w:val="00170184"/>
    <w:rsid w:val="00171748"/>
    <w:rsid w:val="00180E2E"/>
    <w:rsid w:val="0018224F"/>
    <w:rsid w:val="00195155"/>
    <w:rsid w:val="001955A8"/>
    <w:rsid w:val="001964C4"/>
    <w:rsid w:val="001A5DAF"/>
    <w:rsid w:val="001C35B6"/>
    <w:rsid w:val="001C5CE9"/>
    <w:rsid w:val="001D2B83"/>
    <w:rsid w:val="001E019B"/>
    <w:rsid w:val="001E1D60"/>
    <w:rsid w:val="001E6EAF"/>
    <w:rsid w:val="001F163B"/>
    <w:rsid w:val="001F2A9E"/>
    <w:rsid w:val="001F4F58"/>
    <w:rsid w:val="0020169F"/>
    <w:rsid w:val="002050D5"/>
    <w:rsid w:val="00207242"/>
    <w:rsid w:val="0021595B"/>
    <w:rsid w:val="00221998"/>
    <w:rsid w:val="00252024"/>
    <w:rsid w:val="00254B7C"/>
    <w:rsid w:val="00276440"/>
    <w:rsid w:val="00284731"/>
    <w:rsid w:val="002960DC"/>
    <w:rsid w:val="00297C25"/>
    <w:rsid w:val="002A227A"/>
    <w:rsid w:val="002B5142"/>
    <w:rsid w:val="002B6DB3"/>
    <w:rsid w:val="002E0B61"/>
    <w:rsid w:val="00307BDD"/>
    <w:rsid w:val="00307E66"/>
    <w:rsid w:val="00321D13"/>
    <w:rsid w:val="003344D5"/>
    <w:rsid w:val="0034495D"/>
    <w:rsid w:val="003506AD"/>
    <w:rsid w:val="003608C7"/>
    <w:rsid w:val="003629F4"/>
    <w:rsid w:val="00373F2B"/>
    <w:rsid w:val="00384616"/>
    <w:rsid w:val="00385276"/>
    <w:rsid w:val="00391180"/>
    <w:rsid w:val="003911F5"/>
    <w:rsid w:val="00393214"/>
    <w:rsid w:val="003A320F"/>
    <w:rsid w:val="003B30BD"/>
    <w:rsid w:val="003C1938"/>
    <w:rsid w:val="003D12B4"/>
    <w:rsid w:val="003D40CD"/>
    <w:rsid w:val="003D6C9E"/>
    <w:rsid w:val="00424E16"/>
    <w:rsid w:val="0043610E"/>
    <w:rsid w:val="00452618"/>
    <w:rsid w:val="0045677B"/>
    <w:rsid w:val="00462F7D"/>
    <w:rsid w:val="00465A4E"/>
    <w:rsid w:val="00476EFC"/>
    <w:rsid w:val="00480E42"/>
    <w:rsid w:val="00494B52"/>
    <w:rsid w:val="004A44B7"/>
    <w:rsid w:val="004A629E"/>
    <w:rsid w:val="004D2459"/>
    <w:rsid w:val="00503326"/>
    <w:rsid w:val="005300DB"/>
    <w:rsid w:val="0053054B"/>
    <w:rsid w:val="00532F40"/>
    <w:rsid w:val="00546F8A"/>
    <w:rsid w:val="00553D41"/>
    <w:rsid w:val="00562475"/>
    <w:rsid w:val="0059677A"/>
    <w:rsid w:val="005B6B38"/>
    <w:rsid w:val="005C580D"/>
    <w:rsid w:val="005D13F6"/>
    <w:rsid w:val="005D2191"/>
    <w:rsid w:val="005F253D"/>
    <w:rsid w:val="00614135"/>
    <w:rsid w:val="00636C16"/>
    <w:rsid w:val="00646D37"/>
    <w:rsid w:val="006722C9"/>
    <w:rsid w:val="006A022F"/>
    <w:rsid w:val="006A2832"/>
    <w:rsid w:val="006A36A9"/>
    <w:rsid w:val="006A4564"/>
    <w:rsid w:val="006B385E"/>
    <w:rsid w:val="006C07FB"/>
    <w:rsid w:val="006D0171"/>
    <w:rsid w:val="006D5927"/>
    <w:rsid w:val="006F34D0"/>
    <w:rsid w:val="007043A0"/>
    <w:rsid w:val="007102D5"/>
    <w:rsid w:val="00710649"/>
    <w:rsid w:val="00717611"/>
    <w:rsid w:val="00733BF8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B6512"/>
    <w:rsid w:val="007D3999"/>
    <w:rsid w:val="007D4423"/>
    <w:rsid w:val="007D4588"/>
    <w:rsid w:val="007D66FE"/>
    <w:rsid w:val="007E4749"/>
    <w:rsid w:val="00800356"/>
    <w:rsid w:val="0080560B"/>
    <w:rsid w:val="008246AA"/>
    <w:rsid w:val="00836966"/>
    <w:rsid w:val="00873BD7"/>
    <w:rsid w:val="008908D8"/>
    <w:rsid w:val="00893E5E"/>
    <w:rsid w:val="00896738"/>
    <w:rsid w:val="008A728C"/>
    <w:rsid w:val="008C432C"/>
    <w:rsid w:val="008D1AAD"/>
    <w:rsid w:val="008E76A1"/>
    <w:rsid w:val="008F2185"/>
    <w:rsid w:val="008F356C"/>
    <w:rsid w:val="008F7002"/>
    <w:rsid w:val="00907179"/>
    <w:rsid w:val="009151DB"/>
    <w:rsid w:val="009212FF"/>
    <w:rsid w:val="009250B6"/>
    <w:rsid w:val="0093122C"/>
    <w:rsid w:val="00947296"/>
    <w:rsid w:val="00950EAA"/>
    <w:rsid w:val="00964F90"/>
    <w:rsid w:val="00965C19"/>
    <w:rsid w:val="00977058"/>
    <w:rsid w:val="00985AB3"/>
    <w:rsid w:val="00994D9E"/>
    <w:rsid w:val="009A5AB0"/>
    <w:rsid w:val="009B0C36"/>
    <w:rsid w:val="009B7886"/>
    <w:rsid w:val="009C4212"/>
    <w:rsid w:val="009C6E46"/>
    <w:rsid w:val="009F261B"/>
    <w:rsid w:val="009F7957"/>
    <w:rsid w:val="00A257CB"/>
    <w:rsid w:val="00A301BA"/>
    <w:rsid w:val="00A36F2B"/>
    <w:rsid w:val="00A37978"/>
    <w:rsid w:val="00A62598"/>
    <w:rsid w:val="00A72C26"/>
    <w:rsid w:val="00A760F0"/>
    <w:rsid w:val="00A938BF"/>
    <w:rsid w:val="00A97B84"/>
    <w:rsid w:val="00A97DF3"/>
    <w:rsid w:val="00AB34FE"/>
    <w:rsid w:val="00AC1C6A"/>
    <w:rsid w:val="00AE2B3E"/>
    <w:rsid w:val="00AF367E"/>
    <w:rsid w:val="00B071C9"/>
    <w:rsid w:val="00B20557"/>
    <w:rsid w:val="00B2509B"/>
    <w:rsid w:val="00B5365F"/>
    <w:rsid w:val="00B666DA"/>
    <w:rsid w:val="00B67C66"/>
    <w:rsid w:val="00B72071"/>
    <w:rsid w:val="00B768F5"/>
    <w:rsid w:val="00B76C5E"/>
    <w:rsid w:val="00B774C6"/>
    <w:rsid w:val="00BA23D8"/>
    <w:rsid w:val="00BA2736"/>
    <w:rsid w:val="00BA75DD"/>
    <w:rsid w:val="00BA7FE6"/>
    <w:rsid w:val="00BC1903"/>
    <w:rsid w:val="00BC3994"/>
    <w:rsid w:val="00BC5379"/>
    <w:rsid w:val="00BE075F"/>
    <w:rsid w:val="00BE443A"/>
    <w:rsid w:val="00BF24BB"/>
    <w:rsid w:val="00BF2FC2"/>
    <w:rsid w:val="00C156D2"/>
    <w:rsid w:val="00C168C7"/>
    <w:rsid w:val="00C34021"/>
    <w:rsid w:val="00C84EB9"/>
    <w:rsid w:val="00C92EC4"/>
    <w:rsid w:val="00C96C5E"/>
    <w:rsid w:val="00CA0617"/>
    <w:rsid w:val="00CB09EF"/>
    <w:rsid w:val="00CB32A5"/>
    <w:rsid w:val="00CB3557"/>
    <w:rsid w:val="00CB5CDE"/>
    <w:rsid w:val="00CB5F41"/>
    <w:rsid w:val="00CC268A"/>
    <w:rsid w:val="00CC3673"/>
    <w:rsid w:val="00CD5890"/>
    <w:rsid w:val="00CD5D07"/>
    <w:rsid w:val="00CF0773"/>
    <w:rsid w:val="00D02334"/>
    <w:rsid w:val="00D13172"/>
    <w:rsid w:val="00D16900"/>
    <w:rsid w:val="00D350A6"/>
    <w:rsid w:val="00D55D33"/>
    <w:rsid w:val="00D60629"/>
    <w:rsid w:val="00D61838"/>
    <w:rsid w:val="00D61FD0"/>
    <w:rsid w:val="00D71975"/>
    <w:rsid w:val="00D7201F"/>
    <w:rsid w:val="00D72EBB"/>
    <w:rsid w:val="00D73A4C"/>
    <w:rsid w:val="00D83A47"/>
    <w:rsid w:val="00D845B1"/>
    <w:rsid w:val="00DA02CF"/>
    <w:rsid w:val="00DA2B06"/>
    <w:rsid w:val="00DA3510"/>
    <w:rsid w:val="00DA5A12"/>
    <w:rsid w:val="00DD4B70"/>
    <w:rsid w:val="00DD5CB6"/>
    <w:rsid w:val="00DE52E6"/>
    <w:rsid w:val="00E228EC"/>
    <w:rsid w:val="00E402A4"/>
    <w:rsid w:val="00E42968"/>
    <w:rsid w:val="00E60A24"/>
    <w:rsid w:val="00E6140A"/>
    <w:rsid w:val="00E702F2"/>
    <w:rsid w:val="00E75BE0"/>
    <w:rsid w:val="00E762CB"/>
    <w:rsid w:val="00E91E0D"/>
    <w:rsid w:val="00E92E41"/>
    <w:rsid w:val="00E95569"/>
    <w:rsid w:val="00E96EC0"/>
    <w:rsid w:val="00EB723F"/>
    <w:rsid w:val="00EC006E"/>
    <w:rsid w:val="00EC7723"/>
    <w:rsid w:val="00ED280F"/>
    <w:rsid w:val="00ED5FFF"/>
    <w:rsid w:val="00ED7BC3"/>
    <w:rsid w:val="00EE0BA2"/>
    <w:rsid w:val="00EE5324"/>
    <w:rsid w:val="00F1156D"/>
    <w:rsid w:val="00F13FDC"/>
    <w:rsid w:val="00F251D3"/>
    <w:rsid w:val="00F259CA"/>
    <w:rsid w:val="00F310B2"/>
    <w:rsid w:val="00F33D60"/>
    <w:rsid w:val="00F514C1"/>
    <w:rsid w:val="00F800E8"/>
    <w:rsid w:val="00F80236"/>
    <w:rsid w:val="00F837E0"/>
    <w:rsid w:val="00F900CD"/>
    <w:rsid w:val="00F9079D"/>
    <w:rsid w:val="00F96F46"/>
    <w:rsid w:val="00F970BC"/>
    <w:rsid w:val="00FA62C3"/>
    <w:rsid w:val="00FB4FFF"/>
    <w:rsid w:val="00FB7CFB"/>
    <w:rsid w:val="00FC11D8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WW8Num12z7">
    <w:name w:val="WW8Num12z7"/>
    <w:rsid w:val="00DA0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3455</Words>
  <Characters>20388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7</cp:revision>
  <cp:lastPrinted>2018-10-01T07:59:00Z</cp:lastPrinted>
  <dcterms:created xsi:type="dcterms:W3CDTF">2021-06-30T14:12:00Z</dcterms:created>
  <dcterms:modified xsi:type="dcterms:W3CDTF">2021-07-11T02:15:00Z</dcterms:modified>
</cp:coreProperties>
</file>