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10F3F05C"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635A4A" w:rsidRPr="00635A4A">
        <w:rPr>
          <w:rFonts w:asciiTheme="minorHAnsi" w:hAnsiTheme="minorHAnsi"/>
          <w:b/>
          <w:bCs/>
          <w:sz w:val="22"/>
          <w:szCs w:val="22"/>
        </w:rPr>
        <w:t xml:space="preserve">Dodávka nemocničních lůžek, rehabilitačních a vyšetřovacích </w:t>
      </w:r>
      <w:proofErr w:type="gramStart"/>
      <w:r w:rsidR="00635A4A" w:rsidRPr="00635A4A">
        <w:rPr>
          <w:rFonts w:asciiTheme="minorHAnsi" w:hAnsiTheme="minorHAnsi"/>
          <w:b/>
          <w:bCs/>
          <w:sz w:val="22"/>
          <w:szCs w:val="22"/>
        </w:rPr>
        <w:t xml:space="preserve">stolů - </w:t>
      </w:r>
      <w:proofErr w:type="spellStart"/>
      <w:r w:rsidR="00635A4A" w:rsidRPr="00635A4A">
        <w:rPr>
          <w:rFonts w:asciiTheme="minorHAnsi" w:hAnsiTheme="minorHAnsi"/>
          <w:b/>
          <w:bCs/>
          <w:sz w:val="22"/>
          <w:szCs w:val="22"/>
        </w:rPr>
        <w:t>znovuvyhlášení</w:t>
      </w:r>
      <w:proofErr w:type="spellEnd"/>
      <w:proofErr w:type="gramEnd"/>
      <w:r w:rsidR="00101A54" w:rsidRPr="00964F90">
        <w:rPr>
          <w:rFonts w:asciiTheme="minorHAnsi" w:hAnsiTheme="minorHAnsi"/>
          <w:sz w:val="22"/>
          <w:szCs w:val="22"/>
        </w:rPr>
        <w:t>“</w:t>
      </w:r>
      <w:r w:rsidR="00635A4A">
        <w:rPr>
          <w:rFonts w:asciiTheme="minorHAnsi" w:hAnsiTheme="minorHAnsi"/>
          <w:sz w:val="22"/>
          <w:szCs w:val="22"/>
        </w:rPr>
        <w:t xml:space="preserve">, </w:t>
      </w:r>
      <w:r w:rsidR="00635A4A" w:rsidRPr="00635A4A">
        <w:rPr>
          <w:rFonts w:asciiTheme="minorHAnsi" w:hAnsiTheme="minorHAnsi"/>
          <w:b/>
          <w:bCs/>
          <w:sz w:val="22"/>
          <w:szCs w:val="22"/>
        </w:rPr>
        <w:t>část 2</w:t>
      </w:r>
      <w:r w:rsidR="00635A4A">
        <w:rPr>
          <w:rFonts w:asciiTheme="minorHAnsi" w:hAnsiTheme="minorHAnsi"/>
          <w:sz w:val="22"/>
          <w:szCs w:val="22"/>
        </w:rPr>
        <w:t xml:space="preserve">, název části </w:t>
      </w:r>
      <w:r w:rsidR="00635A4A" w:rsidRPr="00635A4A">
        <w:rPr>
          <w:rFonts w:asciiTheme="minorHAnsi" w:hAnsiTheme="minorHAnsi"/>
          <w:b/>
          <w:bCs/>
          <w:sz w:val="22"/>
          <w:szCs w:val="22"/>
        </w:rPr>
        <w:t>Vyhřívaná lůžka</w:t>
      </w:r>
      <w:r w:rsidR="00101A54" w:rsidRPr="00964F90">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Pr="00020322">
        <w:rPr>
          <w:rFonts w:asciiTheme="minorHAnsi" w:hAnsiTheme="minorHAnsi"/>
          <w:sz w:val="22"/>
          <w:szCs w:val="22"/>
        </w:rPr>
        <w:t>realizované</w:t>
      </w:r>
      <w:r w:rsidR="00C57889">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FE59746" w14:textId="5C3C2BAA" w:rsidR="000832FE" w:rsidRPr="00635A4A" w:rsidRDefault="000832FE" w:rsidP="00635A4A">
      <w:pPr>
        <w:widowControl w:val="0"/>
        <w:numPr>
          <w:ilvl w:val="0"/>
          <w:numId w:val="16"/>
        </w:numPr>
        <w:tabs>
          <w:tab w:val="left" w:pos="709"/>
        </w:tabs>
        <w:suppressAutoHyphens/>
        <w:spacing w:after="60"/>
        <w:ind w:left="709" w:hanging="425"/>
        <w:jc w:val="both"/>
        <w:rPr>
          <w:rFonts w:ascii="Calibri" w:eastAsia="SimSun" w:hAnsi="Calibri" w:cs="Calibri"/>
          <w:kern w:val="1"/>
          <w:sz w:val="22"/>
          <w:szCs w:val="22"/>
          <w:lang w:eastAsia="hi-IN" w:bidi="hi-IN"/>
        </w:rPr>
      </w:pPr>
      <w:r w:rsidRPr="00635A4A">
        <w:rPr>
          <w:rFonts w:ascii="Calibri" w:eastAsia="SimSun" w:hAnsi="Calibri" w:cs="Calibri"/>
          <w:kern w:val="1"/>
          <w:sz w:val="22"/>
          <w:szCs w:val="22"/>
          <w:lang w:eastAsia="hi-IN" w:bidi="hi-IN"/>
        </w:rPr>
        <w:t>Předmět smlouvy je realizován v rámci projektu „</w:t>
      </w:r>
      <w:bookmarkStart w:id="0" w:name="_Hlk26516118"/>
      <w:r w:rsidR="00A257CB" w:rsidRPr="00635A4A">
        <w:rPr>
          <w:rFonts w:ascii="Calibri" w:eastAsia="SimSun" w:hAnsi="Calibri" w:cs="Calibri"/>
          <w:kern w:val="1"/>
          <w:sz w:val="22"/>
          <w:szCs w:val="22"/>
          <w:lang w:eastAsia="hi-IN" w:bidi="hi-IN"/>
        </w:rPr>
        <w:t>Modernizace lůžkového fondu</w:t>
      </w:r>
      <w:r w:rsidR="00F96F46" w:rsidRPr="00635A4A">
        <w:rPr>
          <w:rFonts w:ascii="Calibri" w:eastAsia="SimSun" w:hAnsi="Calibri" w:cs="Calibri"/>
          <w:kern w:val="1"/>
          <w:sz w:val="22"/>
          <w:szCs w:val="22"/>
          <w:lang w:eastAsia="hi-IN" w:bidi="hi-IN"/>
        </w:rPr>
        <w:t>“ (</w:t>
      </w:r>
      <w:proofErr w:type="spellStart"/>
      <w:r w:rsidR="00F96F46" w:rsidRPr="00635A4A">
        <w:rPr>
          <w:rFonts w:ascii="Calibri" w:eastAsia="SimSun" w:hAnsi="Calibri" w:cs="Calibri"/>
          <w:kern w:val="1"/>
          <w:sz w:val="22"/>
          <w:szCs w:val="22"/>
          <w:lang w:eastAsia="hi-IN" w:bidi="hi-IN"/>
        </w:rPr>
        <w:t>reg</w:t>
      </w:r>
      <w:proofErr w:type="spellEnd"/>
      <w:r w:rsidR="00F96F46" w:rsidRPr="00635A4A">
        <w:rPr>
          <w:rFonts w:ascii="Calibri" w:eastAsia="SimSun" w:hAnsi="Calibri" w:cs="Calibri"/>
          <w:kern w:val="1"/>
          <w:sz w:val="22"/>
          <w:szCs w:val="22"/>
          <w:lang w:eastAsia="hi-IN" w:bidi="hi-IN"/>
        </w:rPr>
        <w:t xml:space="preserve">. č. </w:t>
      </w:r>
      <w:bookmarkEnd w:id="0"/>
      <w:r w:rsidR="008908D8" w:rsidRPr="00635A4A">
        <w:rPr>
          <w:rFonts w:asciiTheme="minorHAnsi" w:hAnsiTheme="minorHAnsi"/>
          <w:sz w:val="22"/>
          <w:szCs w:val="22"/>
        </w:rPr>
        <w:t>CZ.06.2.56/0.0/0.0./16_043/000154</w:t>
      </w:r>
      <w:r w:rsidR="00A257CB" w:rsidRPr="00635A4A">
        <w:rPr>
          <w:rFonts w:asciiTheme="minorHAnsi" w:hAnsiTheme="minorHAnsi"/>
          <w:sz w:val="22"/>
          <w:szCs w:val="22"/>
        </w:rPr>
        <w:t>8</w:t>
      </w:r>
      <w:r w:rsidR="000F2827" w:rsidRPr="00635A4A">
        <w:rPr>
          <w:rFonts w:ascii="Calibri" w:eastAsia="SimSun" w:hAnsi="Calibri" w:cs="Calibri"/>
          <w:kern w:val="1"/>
          <w:sz w:val="22"/>
          <w:szCs w:val="22"/>
          <w:lang w:eastAsia="hi-IN" w:bidi="hi-IN"/>
        </w:rPr>
        <w:t>)</w:t>
      </w:r>
      <w:r w:rsidRPr="00635A4A">
        <w:rPr>
          <w:rFonts w:ascii="Calibri" w:eastAsia="SimSun" w:hAnsi="Calibri" w:cs="Calibri"/>
          <w:kern w:val="1"/>
          <w:sz w:val="22"/>
          <w:szCs w:val="22"/>
          <w:lang w:eastAsia="hi-IN" w:bidi="hi-IN"/>
        </w:rPr>
        <w:t xml:space="preserve"> spolufinancovaného Evropskou unií z Evropského fondu pro regionální rozvoj. </w:t>
      </w:r>
    </w:p>
    <w:p w14:paraId="05E93D83" w14:textId="760B09BF" w:rsidR="006A36A9" w:rsidRPr="00ED280F" w:rsidRDefault="006A36A9" w:rsidP="00635A4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565B2B">
        <w:rPr>
          <w:rFonts w:ascii="Calibri" w:eastAsia="SimSun" w:hAnsi="Calibri" w:cs="Calibri"/>
          <w:kern w:val="1"/>
          <w:sz w:val="22"/>
          <w:szCs w:val="22"/>
          <w:lang w:eastAsia="hi-IN" w:bidi="hi-IN"/>
        </w:rPr>
        <w:t>Prodávající se zavazuje dodat kupující</w:t>
      </w:r>
      <w:r w:rsidR="0043610E" w:rsidRPr="00565B2B">
        <w:rPr>
          <w:rFonts w:ascii="Calibri" w:eastAsia="SimSun" w:hAnsi="Calibri" w:cs="Calibri"/>
          <w:kern w:val="1"/>
          <w:sz w:val="22"/>
          <w:szCs w:val="22"/>
          <w:lang w:eastAsia="hi-IN" w:bidi="hi-IN"/>
        </w:rPr>
        <w:t>mu</w:t>
      </w:r>
      <w:r w:rsidR="00020322" w:rsidRPr="00565B2B">
        <w:rPr>
          <w:rFonts w:ascii="Calibri" w:eastAsia="SimSun" w:hAnsi="Calibri" w:cs="Calibri"/>
          <w:kern w:val="1"/>
          <w:sz w:val="22"/>
          <w:szCs w:val="22"/>
          <w:lang w:eastAsia="hi-IN" w:bidi="hi-IN"/>
        </w:rPr>
        <w:t xml:space="preserve"> </w:t>
      </w:r>
      <w:bookmarkStart w:id="1" w:name="_Hlk34205373"/>
      <w:r w:rsidR="00565B2B" w:rsidRPr="00565B2B">
        <w:rPr>
          <w:rFonts w:ascii="Calibri" w:hAnsi="Calibri" w:cs="Calibri"/>
          <w:sz w:val="22"/>
          <w:szCs w:val="22"/>
        </w:rPr>
        <w:t xml:space="preserve">2 ks vyhřívaných lůžek na dětské a novorozenecké oddělení </w:t>
      </w:r>
      <w:bookmarkStart w:id="2" w:name="_Hlk35523529"/>
      <w:r w:rsidR="00565B2B" w:rsidRPr="00565B2B">
        <w:rPr>
          <w:rFonts w:ascii="Calibri" w:hAnsi="Calibri" w:cs="Calibri"/>
          <w:sz w:val="22"/>
          <w:szCs w:val="22"/>
        </w:rPr>
        <w:t>Pardubické nemocnice</w:t>
      </w:r>
      <w:bookmarkEnd w:id="1"/>
      <w:bookmarkEnd w:id="2"/>
      <w:r w:rsidR="00A938BF" w:rsidRPr="00565B2B">
        <w:rPr>
          <w:rFonts w:ascii="Calibri" w:hAnsi="Calibri" w:cs="Calibri"/>
          <w:sz w:val="22"/>
          <w:szCs w:val="22"/>
        </w:rPr>
        <w:t>, jejichž specifikace</w:t>
      </w:r>
      <w:r w:rsidRPr="00565B2B">
        <w:rPr>
          <w:rFonts w:ascii="Calibri" w:eastAsia="SimSun" w:hAnsi="Calibri" w:cs="Calibri"/>
          <w:kern w:val="1"/>
          <w:sz w:val="22"/>
          <w:szCs w:val="22"/>
          <w:lang w:eastAsia="hi-IN" w:bidi="hi-IN"/>
        </w:rPr>
        <w:t xml:space="preserve"> je uvedena v příloze č. </w:t>
      </w:r>
      <w:r w:rsidR="00FD657E" w:rsidRPr="00565B2B">
        <w:rPr>
          <w:rFonts w:ascii="Calibri" w:eastAsia="SimSun" w:hAnsi="Calibri" w:cs="Calibri"/>
          <w:kern w:val="1"/>
          <w:sz w:val="22"/>
          <w:szCs w:val="22"/>
          <w:lang w:eastAsia="hi-IN" w:bidi="hi-IN"/>
        </w:rPr>
        <w:t>2</w:t>
      </w:r>
      <w:r w:rsidRPr="00565B2B">
        <w:rPr>
          <w:rFonts w:ascii="Calibri" w:eastAsia="SimSun" w:hAnsi="Calibri" w:cs="Calibri"/>
          <w:kern w:val="1"/>
          <w:sz w:val="22"/>
          <w:szCs w:val="22"/>
          <w:lang w:eastAsia="hi-IN" w:bidi="hi-IN"/>
        </w:rPr>
        <w:t xml:space="preserve"> této smlouvy</w:t>
      </w:r>
      <w:r w:rsidRPr="00ED280F">
        <w:rPr>
          <w:rFonts w:ascii="Calibri" w:eastAsia="SimSun" w:hAnsi="Calibri" w:cs="Calibri"/>
          <w:kern w:val="1"/>
          <w:sz w:val="22"/>
          <w:szCs w:val="22"/>
          <w:lang w:eastAsia="hi-IN" w:bidi="hi-IN"/>
        </w:rPr>
        <w:t xml:space="preserve"> (dále také „zboží“), a převést na kupujícího vlastnické právo ke zboží. Kupující se zavazuje prodávajícímu za poskytnuté plnění zaplatit za podmínek uvedených v této smlouvě kupní cenu dle čl. </w:t>
      </w:r>
      <w:r w:rsidR="00D16900" w:rsidRPr="00ED280F">
        <w:rPr>
          <w:rFonts w:ascii="Calibri" w:eastAsia="SimSun" w:hAnsi="Calibri" w:cs="Calibri"/>
          <w:kern w:val="1"/>
          <w:sz w:val="22"/>
          <w:szCs w:val="22"/>
          <w:lang w:eastAsia="hi-IN" w:bidi="hi-IN"/>
        </w:rPr>
        <w:t>III</w:t>
      </w:r>
      <w:r w:rsidRPr="00ED280F">
        <w:rPr>
          <w:rFonts w:ascii="Calibri" w:eastAsia="SimSun" w:hAnsi="Calibri" w:cs="Calibri"/>
          <w:kern w:val="1"/>
          <w:sz w:val="22"/>
          <w:szCs w:val="22"/>
          <w:lang w:eastAsia="hi-IN" w:bidi="hi-IN"/>
        </w:rPr>
        <w:t xml:space="preserve"> této smlouvy. </w:t>
      </w:r>
    </w:p>
    <w:p w14:paraId="1BC701A7" w14:textId="77777777" w:rsidR="001A5DAF" w:rsidRPr="003629F4" w:rsidRDefault="001A5DAF" w:rsidP="00635A4A">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D4607A4"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47549C19" w:rsidR="00836966" w:rsidRPr="00836966" w:rsidRDefault="00836966" w:rsidP="00635A4A">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635A4A">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lastRenderedPageBreak/>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387496D3" w:rsidR="006A36A9" w:rsidRDefault="006A36A9" w:rsidP="00635A4A">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D7201F">
        <w:rPr>
          <w:rFonts w:ascii="Calibri" w:eastAsia="SimSun" w:hAnsi="Calibri" w:cs="Calibri"/>
          <w:kern w:val="1"/>
          <w:sz w:val="22"/>
          <w:szCs w:val="22"/>
          <w:lang w:eastAsia="hi-IN" w:bidi="hi-IN"/>
        </w:rPr>
        <w:t>.</w:t>
      </w:r>
    </w:p>
    <w:p w14:paraId="36B67B3F" w14:textId="229FDDF8" w:rsidR="007E4749" w:rsidRPr="007D4423" w:rsidRDefault="007E4749" w:rsidP="00635A4A">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77777777" w:rsidR="006A36A9" w:rsidRPr="0010599D" w:rsidRDefault="006A36A9" w:rsidP="00A90B95">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5624BC" w:rsidRDefault="006A36A9" w:rsidP="005624BC">
      <w:pPr>
        <w:pStyle w:val="Odstavecseseznamem"/>
        <w:widowControl w:val="0"/>
        <w:numPr>
          <w:ilvl w:val="0"/>
          <w:numId w:val="33"/>
        </w:numPr>
        <w:tabs>
          <w:tab w:val="left" w:pos="426"/>
        </w:tabs>
        <w:suppressAutoHyphens/>
        <w:spacing w:after="60"/>
        <w:ind w:left="720" w:hanging="436"/>
        <w:jc w:val="both"/>
        <w:rPr>
          <w:rFonts w:ascii="Calibri" w:eastAsia="SimSun" w:hAnsi="Calibri" w:cs="Calibri"/>
          <w:kern w:val="1"/>
          <w:sz w:val="22"/>
          <w:szCs w:val="22"/>
          <w:lang w:eastAsia="hi-IN" w:bidi="hi-IN"/>
        </w:rPr>
      </w:pPr>
      <w:r w:rsidRPr="005624BC">
        <w:rPr>
          <w:rFonts w:ascii="Calibri" w:eastAsia="SimSun" w:hAnsi="Calibri" w:cs="Calibri"/>
          <w:kern w:val="1"/>
          <w:sz w:val="22"/>
          <w:szCs w:val="22"/>
          <w:lang w:eastAsia="hi-IN" w:bidi="hi-IN"/>
        </w:rPr>
        <w:t>Prodávající je povinen dodat kupujícímu zboží do míst plnění, kterým</w:t>
      </w:r>
      <w:r w:rsidR="008908D8" w:rsidRPr="005624BC">
        <w:rPr>
          <w:rFonts w:ascii="Calibri" w:eastAsia="SimSun" w:hAnsi="Calibri" w:cs="Calibri"/>
          <w:kern w:val="1"/>
          <w:sz w:val="22"/>
          <w:szCs w:val="22"/>
          <w:lang w:eastAsia="hi-IN" w:bidi="hi-IN"/>
        </w:rPr>
        <w:t>i jsou</w:t>
      </w:r>
      <w:r w:rsidRPr="005624BC">
        <w:rPr>
          <w:rFonts w:ascii="Calibri" w:eastAsia="SimSun" w:hAnsi="Calibri" w:cs="Calibri"/>
          <w:kern w:val="1"/>
          <w:sz w:val="22"/>
          <w:szCs w:val="22"/>
          <w:lang w:eastAsia="hi-IN" w:bidi="hi-IN"/>
        </w:rPr>
        <w:t xml:space="preserve"> </w:t>
      </w:r>
      <w:r w:rsidR="007D4423" w:rsidRPr="005624BC">
        <w:rPr>
          <w:rFonts w:ascii="Calibri" w:eastAsia="SimSun" w:hAnsi="Calibri" w:cs="Calibri"/>
          <w:kern w:val="1"/>
          <w:sz w:val="22"/>
          <w:szCs w:val="22"/>
          <w:lang w:eastAsia="hi-IN" w:bidi="hi-IN"/>
        </w:rPr>
        <w:t>pracoviště zadavatele</w:t>
      </w:r>
    </w:p>
    <w:p w14:paraId="354335F9" w14:textId="565878A0" w:rsidR="008908D8" w:rsidRPr="005624BC" w:rsidRDefault="005624BC" w:rsidP="00A62598">
      <w:pPr>
        <w:pStyle w:val="Odstavecseseznamem"/>
        <w:widowControl w:val="0"/>
        <w:tabs>
          <w:tab w:val="left" w:pos="426"/>
        </w:tabs>
        <w:suppressAutoHyphens/>
        <w:spacing w:after="60"/>
        <w:ind w:left="1418" w:hanging="698"/>
        <w:jc w:val="both"/>
        <w:rPr>
          <w:rFonts w:ascii="Calibri" w:eastAsia="SimSun" w:hAnsi="Calibri" w:cs="Calibri"/>
          <w:kern w:val="1"/>
          <w:sz w:val="22"/>
          <w:szCs w:val="22"/>
          <w:lang w:eastAsia="hi-IN" w:bidi="hi-IN"/>
        </w:rPr>
      </w:pPr>
      <w:r w:rsidRPr="005624BC">
        <w:rPr>
          <w:rFonts w:ascii="Calibri" w:eastAsia="SimSun" w:hAnsi="Calibri" w:cs="Calibri"/>
          <w:kern w:val="1"/>
          <w:sz w:val="22"/>
          <w:szCs w:val="22"/>
          <w:lang w:eastAsia="hi-IN" w:bidi="hi-IN"/>
        </w:rPr>
        <w:t xml:space="preserve">- </w:t>
      </w:r>
      <w:r w:rsidR="00B774C6" w:rsidRPr="005624BC">
        <w:rPr>
          <w:rFonts w:ascii="Calibri" w:eastAsia="SimSun" w:hAnsi="Calibri" w:cs="Calibri"/>
          <w:kern w:val="1"/>
          <w:sz w:val="22"/>
          <w:szCs w:val="22"/>
          <w:lang w:eastAsia="hi-IN" w:bidi="hi-IN"/>
        </w:rPr>
        <w:t>Pardubická</w:t>
      </w:r>
      <w:r w:rsidR="00120351" w:rsidRPr="005624BC">
        <w:rPr>
          <w:rFonts w:ascii="Calibri" w:eastAsia="SimSun" w:hAnsi="Calibri" w:cs="Calibri"/>
          <w:kern w:val="1"/>
          <w:sz w:val="22"/>
          <w:szCs w:val="22"/>
          <w:lang w:eastAsia="hi-IN" w:bidi="hi-IN"/>
        </w:rPr>
        <w:t xml:space="preserve"> nemocnice</w:t>
      </w:r>
      <w:r w:rsidR="00985AB3" w:rsidRPr="005624BC">
        <w:rPr>
          <w:rFonts w:ascii="Calibri" w:eastAsia="SimSun" w:hAnsi="Calibri" w:cs="Calibri"/>
          <w:kern w:val="1"/>
          <w:sz w:val="22"/>
          <w:szCs w:val="22"/>
          <w:lang w:eastAsia="hi-IN" w:bidi="hi-IN"/>
        </w:rPr>
        <w:t xml:space="preserve">, </w:t>
      </w:r>
      <w:r w:rsidR="00B774C6" w:rsidRPr="005624BC">
        <w:rPr>
          <w:rFonts w:ascii="Calibri" w:eastAsia="SimSun" w:hAnsi="Calibri" w:cs="Calibri"/>
          <w:kern w:val="1"/>
          <w:sz w:val="22"/>
          <w:szCs w:val="22"/>
          <w:lang w:eastAsia="hi-IN" w:bidi="hi-IN"/>
        </w:rPr>
        <w:t>Kyjevská 44, 532 03, Pardubice</w:t>
      </w:r>
      <w:r w:rsidR="00120351" w:rsidRPr="005624BC">
        <w:rPr>
          <w:rFonts w:ascii="Calibri" w:eastAsia="SimSun" w:hAnsi="Calibri" w:cs="Calibri"/>
          <w:kern w:val="1"/>
          <w:sz w:val="22"/>
          <w:szCs w:val="22"/>
          <w:lang w:eastAsia="hi-IN" w:bidi="hi-IN"/>
        </w:rPr>
        <w:t xml:space="preserve">, </w:t>
      </w:r>
      <w:r w:rsidR="00565B2B" w:rsidRPr="005624BC">
        <w:rPr>
          <w:rFonts w:ascii="Calibri" w:eastAsia="SimSun" w:hAnsi="Calibri" w:cs="Calibri"/>
          <w:kern w:val="1"/>
          <w:sz w:val="22"/>
          <w:szCs w:val="22"/>
          <w:lang w:eastAsia="hi-IN" w:bidi="hi-IN"/>
        </w:rPr>
        <w:t>dětské a novorozenecké</w:t>
      </w:r>
      <w:r w:rsidR="00A62598" w:rsidRPr="005624BC">
        <w:rPr>
          <w:rFonts w:ascii="Calibri" w:eastAsia="SimSun" w:hAnsi="Calibri" w:cs="Calibri"/>
          <w:kern w:val="1"/>
          <w:sz w:val="22"/>
          <w:szCs w:val="22"/>
          <w:lang w:eastAsia="hi-IN" w:bidi="hi-IN"/>
        </w:rPr>
        <w:t xml:space="preserve"> </w:t>
      </w:r>
      <w:r w:rsidR="006B385E" w:rsidRPr="005624BC">
        <w:rPr>
          <w:rFonts w:ascii="Calibri" w:eastAsia="SimSun" w:hAnsi="Calibri" w:cs="Calibri"/>
          <w:kern w:val="1"/>
          <w:sz w:val="22"/>
          <w:szCs w:val="22"/>
          <w:lang w:eastAsia="hi-IN" w:bidi="hi-IN"/>
        </w:rPr>
        <w:t>oddělení</w:t>
      </w:r>
      <w:r w:rsidR="00B774C6" w:rsidRPr="005624BC">
        <w:rPr>
          <w:rFonts w:ascii="Calibri" w:eastAsia="SimSun" w:hAnsi="Calibri" w:cs="Calibri"/>
          <w:kern w:val="1"/>
          <w:sz w:val="22"/>
          <w:szCs w:val="22"/>
          <w:lang w:eastAsia="hi-IN" w:bidi="hi-IN"/>
        </w:rPr>
        <w:t>,</w:t>
      </w:r>
      <w:r w:rsidR="00120351" w:rsidRPr="005624BC">
        <w:rPr>
          <w:rFonts w:ascii="Calibri" w:eastAsia="SimSun" w:hAnsi="Calibri" w:cs="Calibri"/>
          <w:kern w:val="1"/>
          <w:sz w:val="22"/>
          <w:szCs w:val="22"/>
          <w:lang w:eastAsia="hi-IN" w:bidi="hi-IN"/>
        </w:rPr>
        <w:t xml:space="preserve"> </w:t>
      </w:r>
    </w:p>
    <w:p w14:paraId="10BBED9E" w14:textId="52BEC630" w:rsidR="006A36A9" w:rsidRPr="00020322" w:rsidRDefault="00F800E8" w:rsidP="00F800E8">
      <w:pPr>
        <w:pStyle w:val="Odstavecseseznamem"/>
        <w:widowControl w:val="0"/>
        <w:tabs>
          <w:tab w:val="left" w:pos="426"/>
        </w:tabs>
        <w:suppressAutoHyphens/>
        <w:spacing w:after="60"/>
        <w:ind w:left="709"/>
        <w:jc w:val="both"/>
        <w:rPr>
          <w:rFonts w:ascii="Calibri" w:eastAsia="SimSun" w:hAnsi="Calibri" w:cs="Calibri"/>
          <w:kern w:val="1"/>
          <w:sz w:val="22"/>
          <w:szCs w:val="22"/>
          <w:highlight w:val="yellow"/>
          <w:lang w:eastAsia="hi-IN" w:bidi="hi-IN"/>
        </w:rPr>
      </w:pPr>
      <w:r>
        <w:rPr>
          <w:rFonts w:ascii="Calibri" w:eastAsia="SimSun" w:hAnsi="Calibri" w:cs="Calibri"/>
          <w:kern w:val="1"/>
          <w:sz w:val="22"/>
          <w:szCs w:val="22"/>
          <w:lang w:eastAsia="hi-IN" w:bidi="hi-IN"/>
        </w:rPr>
        <w:t>a to nejpozději do 8</w:t>
      </w:r>
      <w:r w:rsidR="006A36A9" w:rsidRPr="0010599D">
        <w:rPr>
          <w:rFonts w:ascii="Calibri" w:eastAsia="SimSun" w:hAnsi="Calibri" w:cs="Calibri"/>
          <w:kern w:val="1"/>
          <w:sz w:val="22"/>
          <w:szCs w:val="22"/>
          <w:lang w:eastAsia="hi-IN" w:bidi="hi-IN"/>
        </w:rPr>
        <w:t xml:space="preserve"> </w:t>
      </w:r>
      <w:r w:rsidR="007A42E8" w:rsidRPr="0010599D">
        <w:rPr>
          <w:rFonts w:ascii="Calibri" w:eastAsia="SimSun" w:hAnsi="Calibri" w:cs="Calibri"/>
          <w:kern w:val="1"/>
          <w:sz w:val="22"/>
          <w:szCs w:val="22"/>
          <w:lang w:eastAsia="hi-IN" w:bidi="hi-IN"/>
        </w:rPr>
        <w:t>týdnů</w:t>
      </w:r>
      <w:r w:rsidR="006A36A9" w:rsidRPr="0010599D">
        <w:rPr>
          <w:rFonts w:ascii="Calibri" w:eastAsia="SimSun" w:hAnsi="Calibri" w:cs="Calibri"/>
          <w:kern w:val="1"/>
          <w:sz w:val="22"/>
          <w:szCs w:val="22"/>
          <w:lang w:eastAsia="hi-IN" w:bidi="hi-IN"/>
        </w:rPr>
        <w:t xml:space="preserve"> </w:t>
      </w:r>
      <w:r w:rsidR="00C57889">
        <w:rPr>
          <w:rFonts w:ascii="Calibri" w:eastAsia="SimSun" w:hAnsi="Calibri" w:cs="Calibri"/>
          <w:kern w:val="1"/>
          <w:sz w:val="22"/>
          <w:szCs w:val="22"/>
          <w:lang w:eastAsia="hi-IN" w:bidi="hi-IN"/>
        </w:rPr>
        <w:t>od nabytí účinnosti smlouvy</w:t>
      </w:r>
      <w:r>
        <w:rPr>
          <w:rFonts w:ascii="Calibri" w:eastAsia="SimSun" w:hAnsi="Calibri" w:cs="Calibri"/>
          <w:kern w:val="1"/>
          <w:sz w:val="22"/>
          <w:szCs w:val="22"/>
          <w:lang w:eastAsia="hi-IN" w:bidi="hi-IN"/>
        </w:rPr>
        <w:t>.</w:t>
      </w:r>
      <w:r w:rsidR="00B774C6">
        <w:rPr>
          <w:rFonts w:ascii="Calibri" w:eastAsia="SimSun" w:hAnsi="Calibri" w:cs="Calibri"/>
          <w:kern w:val="1"/>
          <w:sz w:val="22"/>
          <w:szCs w:val="22"/>
          <w:lang w:eastAsia="hi-IN" w:bidi="hi-IN"/>
        </w:rPr>
        <w:t xml:space="preserve"> </w:t>
      </w:r>
    </w:p>
    <w:p w14:paraId="1497898A" w14:textId="295463EF" w:rsidR="004A44B7" w:rsidRPr="00120351" w:rsidRDefault="006A36A9" w:rsidP="005624BC">
      <w:pPr>
        <w:pStyle w:val="Odstavecseseznamem"/>
        <w:widowControl w:val="0"/>
        <w:numPr>
          <w:ilvl w:val="0"/>
          <w:numId w:val="33"/>
        </w:numPr>
        <w:tabs>
          <w:tab w:val="left" w:pos="426"/>
        </w:tabs>
        <w:suppressAutoHyphens/>
        <w:spacing w:after="60"/>
        <w:ind w:left="709" w:hanging="425"/>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624BC">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624BC">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41155D">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41155D">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3563C3">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3563C3">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3563C3">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166F33">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166F33">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00CF8BCB"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166F33" w:rsidRPr="00166F33">
        <w:rPr>
          <w:rFonts w:ascii="Calibri" w:eastAsia="SimSun" w:hAnsi="Calibri" w:cs="Calibri"/>
          <w:snapToGrid w:val="0"/>
          <w:kern w:val="1"/>
          <w:sz w:val="22"/>
          <w:szCs w:val="22"/>
          <w:lang w:eastAsia="hi-IN" w:bidi="hi-IN"/>
        </w:rPr>
        <w:t>Modernizace lůžkového fondu</w:t>
      </w:r>
      <w:r w:rsidR="00BA7FE6" w:rsidRPr="00BA7FE6">
        <w:rPr>
          <w:rFonts w:ascii="Calibri" w:eastAsia="SimSun" w:hAnsi="Calibri" w:cs="Calibri"/>
          <w:snapToGrid w:val="0"/>
          <w:kern w:val="1"/>
          <w:sz w:val="22"/>
          <w:szCs w:val="22"/>
          <w:lang w:eastAsia="hi-IN" w:bidi="hi-IN"/>
        </w:rPr>
        <w:t>“</w:t>
      </w:r>
    </w:p>
    <w:p w14:paraId="763FCF5F" w14:textId="3A77478A" w:rsidR="001041C2" w:rsidRPr="00896738" w:rsidRDefault="001041C2" w:rsidP="00166F33">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 xml:space="preserve">Daňový doklad (faktura) bude obsahovat identifikační číslo projektu: </w:t>
      </w:r>
      <w:r w:rsidRPr="00F800E8">
        <w:rPr>
          <w:rFonts w:ascii="Calibri" w:eastAsia="SimSun" w:hAnsi="Calibri" w:cs="Calibri"/>
          <w:kern w:val="1"/>
          <w:sz w:val="22"/>
          <w:szCs w:val="22"/>
          <w:lang w:eastAsia="hi-IN" w:bidi="hi-IN"/>
        </w:rPr>
        <w:t>„</w:t>
      </w:r>
      <w:r w:rsidR="00F800E8" w:rsidRPr="00F800E8">
        <w:rPr>
          <w:rFonts w:asciiTheme="minorHAnsi" w:hAnsiTheme="minorHAnsi"/>
          <w:sz w:val="22"/>
          <w:szCs w:val="22"/>
        </w:rPr>
        <w:t>CZ.06.2.56/0.0/0.0./16_043/000154</w:t>
      </w:r>
      <w:r w:rsidR="00A62598">
        <w:rPr>
          <w:rFonts w:asciiTheme="minorHAnsi" w:hAnsiTheme="minorHAnsi"/>
          <w:sz w:val="22"/>
          <w:szCs w:val="22"/>
        </w:rPr>
        <w:t>8</w:t>
      </w:r>
      <w:r w:rsidRPr="00F800E8">
        <w:rPr>
          <w:rFonts w:ascii="Calibri" w:eastAsia="SimSun" w:hAnsi="Calibri" w:cs="Calibri"/>
          <w:kern w:val="1"/>
          <w:sz w:val="22"/>
          <w:szCs w:val="22"/>
          <w:lang w:eastAsia="hi-IN" w:bidi="hi-IN"/>
        </w:rPr>
        <w:t>“</w:t>
      </w:r>
      <w:r w:rsidRPr="00896738">
        <w:rPr>
          <w:rFonts w:ascii="Calibri" w:eastAsia="SimSun" w:hAnsi="Calibri" w:cs="Calibri"/>
          <w:kern w:val="1"/>
          <w:sz w:val="22"/>
          <w:szCs w:val="22"/>
          <w:lang w:eastAsia="hi-IN" w:bidi="hi-IN"/>
        </w:rPr>
        <w:t xml:space="preserve"> a zároveň „P19_01</w:t>
      </w:r>
      <w:r w:rsidR="00166F33">
        <w:rPr>
          <w:rFonts w:ascii="Calibri" w:eastAsia="SimSun" w:hAnsi="Calibri" w:cs="Calibri"/>
          <w:kern w:val="1"/>
          <w:sz w:val="22"/>
          <w:szCs w:val="22"/>
          <w:lang w:eastAsia="hi-IN" w:bidi="hi-IN"/>
        </w:rPr>
        <w:t>“</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166F33">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166F33">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w:t>
      </w:r>
      <w:r w:rsidRPr="00DA3510">
        <w:rPr>
          <w:rFonts w:ascii="Calibri" w:eastAsia="SimSun" w:hAnsi="Calibri" w:cs="Calibri"/>
          <w:kern w:val="1"/>
          <w:sz w:val="22"/>
          <w:szCs w:val="22"/>
          <w:lang w:eastAsia="hi-IN" w:bidi="hi-IN"/>
        </w:rPr>
        <w:lastRenderedPageBreak/>
        <w:t>zákonem 182/2006 Sb., insolvenční zákon, v platném znění.</w:t>
      </w:r>
    </w:p>
    <w:p w14:paraId="2AFC0DA3" w14:textId="77777777" w:rsidR="006A36A9" w:rsidRPr="00710649" w:rsidRDefault="00E95569" w:rsidP="00166F33">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166F33">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166F33">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166F33">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0FA3F543" w:rsidR="008E76A1" w:rsidRDefault="006A36A9" w:rsidP="00166F33">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166F33">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166F33">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166F33">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7F17302C" w:rsidR="005F253D" w:rsidRPr="002050D5" w:rsidRDefault="006A36A9" w:rsidP="00166F33">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 </w:t>
      </w:r>
      <w:r w:rsidRPr="00A62598">
        <w:rPr>
          <w:rFonts w:ascii="Calibri" w:eastAsia="SimSun" w:hAnsi="Calibri" w:cs="Calibri"/>
          <w:kern w:val="1"/>
          <w:sz w:val="22"/>
          <w:szCs w:val="22"/>
          <w:lang w:eastAsia="hi-IN" w:bidi="hi-IN"/>
        </w:rPr>
        <w:t xml:space="preserve">délce </w:t>
      </w:r>
      <w:r w:rsidR="00C57889" w:rsidRPr="00C57889">
        <w:rPr>
          <w:rFonts w:ascii="Calibri" w:eastAsia="SimSun" w:hAnsi="Calibri" w:cs="Calibri"/>
          <w:kern w:val="1"/>
          <w:sz w:val="22"/>
          <w:szCs w:val="22"/>
          <w:highlight w:val="yellow"/>
          <w:lang w:eastAsia="hi-IN" w:bidi="hi-IN"/>
        </w:rPr>
        <w:t>………</w:t>
      </w:r>
      <w:r w:rsidR="00C57889">
        <w:rPr>
          <w:rFonts w:ascii="Calibri" w:eastAsia="SimSun" w:hAnsi="Calibri" w:cs="Calibri"/>
          <w:kern w:val="1"/>
          <w:sz w:val="22"/>
          <w:szCs w:val="22"/>
          <w:highlight w:val="yellow"/>
          <w:lang w:eastAsia="hi-IN" w:bidi="hi-IN"/>
        </w:rPr>
        <w:t>…</w:t>
      </w:r>
      <w:r w:rsidR="00C57889" w:rsidRPr="00C57889">
        <w:rPr>
          <w:rFonts w:ascii="Calibri" w:eastAsia="SimSun" w:hAnsi="Calibri" w:cs="Calibri"/>
          <w:kern w:val="1"/>
          <w:sz w:val="22"/>
          <w:szCs w:val="22"/>
          <w:highlight w:val="yellow"/>
          <w:lang w:eastAsia="hi-IN" w:bidi="hi-IN"/>
        </w:rPr>
        <w:t>…</w:t>
      </w:r>
      <w:r w:rsidR="00C57889">
        <w:rPr>
          <w:rFonts w:ascii="Calibri" w:eastAsia="SimSun" w:hAnsi="Calibri" w:cs="Calibri"/>
          <w:kern w:val="1"/>
          <w:sz w:val="22"/>
          <w:szCs w:val="22"/>
          <w:lang w:eastAsia="hi-IN" w:bidi="hi-IN"/>
        </w:rPr>
        <w:t xml:space="preserve"> </w:t>
      </w:r>
      <w:r w:rsidR="00C57889" w:rsidRPr="00C57889">
        <w:rPr>
          <w:rFonts w:ascii="Calibri" w:eastAsia="SimSun" w:hAnsi="Calibri" w:cs="Calibri"/>
          <w:i/>
          <w:iCs/>
          <w:kern w:val="1"/>
          <w:sz w:val="22"/>
          <w:szCs w:val="22"/>
          <w:lang w:eastAsia="hi-IN" w:bidi="hi-IN"/>
        </w:rPr>
        <w:t xml:space="preserve">min. </w:t>
      </w:r>
      <w:r w:rsidR="00321D13" w:rsidRPr="00C57889">
        <w:rPr>
          <w:rFonts w:ascii="Calibri" w:eastAsia="SimSun" w:hAnsi="Calibri" w:cs="Calibri"/>
          <w:i/>
          <w:iCs/>
          <w:kern w:val="1"/>
          <w:sz w:val="22"/>
          <w:szCs w:val="22"/>
          <w:lang w:eastAsia="hi-IN" w:bidi="hi-IN"/>
        </w:rPr>
        <w:t>24 měsíců</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166F33">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166F33">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166F33">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166F33">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166F33">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0479A49" w:rsidR="006A36A9" w:rsidRPr="00133407" w:rsidRDefault="006A36A9" w:rsidP="00166F33">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A62598">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A62598">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166F33">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166F33">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166F33">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166F33">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166F33">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166F33">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w:t>
      </w:r>
      <w:r w:rsidRPr="007D4423">
        <w:rPr>
          <w:rFonts w:ascii="Calibri" w:eastAsia="SimSun" w:hAnsi="Calibri" w:cs="Calibri"/>
          <w:kern w:val="1"/>
          <w:sz w:val="22"/>
          <w:szCs w:val="22"/>
          <w:lang w:eastAsia="hi-IN" w:bidi="hi-IN"/>
        </w:rPr>
        <w:lastRenderedPageBreak/>
        <w:t xml:space="preserve">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166F33">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166F33">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166F33">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166F33">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166F33">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166F33">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166F33">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166F33">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21E829D7" w:rsidR="006A36A9" w:rsidRPr="007D4423" w:rsidRDefault="00307BDD" w:rsidP="00166F33">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w:t>
      </w:r>
      <w:r w:rsidRPr="007D4423">
        <w:rPr>
          <w:rFonts w:ascii="Calibri" w:eastAsia="SimSun" w:hAnsi="Calibri" w:cs="Calibri"/>
          <w:kern w:val="1"/>
          <w:sz w:val="22"/>
          <w:szCs w:val="22"/>
          <w:lang w:eastAsia="hi-IN" w:bidi="hi-IN"/>
        </w:rPr>
        <w:lastRenderedPageBreak/>
        <w:t xml:space="preserve">smlouvy je kupující oprávněn požadovat smluvní pokutu ve výši </w:t>
      </w:r>
      <w:r w:rsidR="00565B2B">
        <w:rPr>
          <w:rFonts w:ascii="Calibri" w:eastAsia="SimSun" w:hAnsi="Calibri" w:cs="Calibri"/>
          <w:kern w:val="1"/>
          <w:sz w:val="22"/>
          <w:szCs w:val="22"/>
          <w:lang w:eastAsia="hi-IN" w:bidi="hi-IN"/>
        </w:rPr>
        <w:t>300</w:t>
      </w:r>
      <w:r w:rsidRPr="007D4423">
        <w:rPr>
          <w:rFonts w:ascii="Calibri" w:eastAsia="SimSun" w:hAnsi="Calibri" w:cs="Calibri"/>
          <w:kern w:val="1"/>
          <w:sz w:val="22"/>
          <w:szCs w:val="22"/>
          <w:lang w:eastAsia="hi-IN" w:bidi="hi-IN"/>
        </w:rPr>
        <w:t>,- za každý den trvání prodlení</w:t>
      </w:r>
      <w:r w:rsidR="006A36A9" w:rsidRPr="007D4423">
        <w:rPr>
          <w:rFonts w:ascii="Calibri" w:eastAsia="SimSun" w:hAnsi="Calibri" w:cs="Calibri"/>
          <w:kern w:val="1"/>
          <w:sz w:val="22"/>
          <w:szCs w:val="22"/>
          <w:lang w:eastAsia="hi-IN" w:bidi="hi-IN"/>
        </w:rPr>
        <w:t>.</w:t>
      </w:r>
    </w:p>
    <w:p w14:paraId="2CA8E4A5" w14:textId="06526113" w:rsidR="006A36A9" w:rsidRPr="007D4423" w:rsidRDefault="000A0FF3" w:rsidP="00166F33">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166F33">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66F33">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66F33">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66F33">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66F33">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66F33">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166F33">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166F33">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166F33">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 xml:space="preserve">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w:t>
      </w:r>
      <w:r w:rsidRPr="001041C2">
        <w:rPr>
          <w:rFonts w:ascii="Calibri" w:eastAsia="SimSun" w:hAnsi="Calibri" w:cs="Calibri"/>
          <w:kern w:val="2"/>
          <w:sz w:val="22"/>
          <w:szCs w:val="22"/>
          <w:lang w:eastAsia="hi-IN" w:bidi="hi-IN"/>
        </w:rPr>
        <w:lastRenderedPageBreak/>
        <w:t>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B2B28">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B2B28">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B2B28">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3"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3"/>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6B2B28"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6B2B28">
        <w:rPr>
          <w:rFonts w:ascii="Calibri" w:eastAsia="SimSun" w:hAnsi="Calibri" w:cs="Calibri"/>
          <w:bCs/>
          <w:kern w:val="1"/>
          <w:sz w:val="22"/>
          <w:szCs w:val="22"/>
          <w:lang w:eastAsia="hi-IN" w:bidi="hi-IN"/>
        </w:rPr>
        <w:t xml:space="preserve">Příloha č. 1: </w:t>
      </w:r>
      <w:r w:rsidR="00B768F5" w:rsidRPr="006B2B28">
        <w:rPr>
          <w:rFonts w:ascii="Calibri" w:eastAsia="SimSun" w:hAnsi="Calibri" w:cs="Calibri"/>
          <w:bCs/>
          <w:kern w:val="1"/>
          <w:sz w:val="22"/>
          <w:szCs w:val="22"/>
          <w:lang w:eastAsia="hi-IN" w:bidi="hi-IN"/>
        </w:rPr>
        <w:t>Dílčí specifikace ceny</w:t>
      </w:r>
    </w:p>
    <w:p w14:paraId="2F06CA6B" w14:textId="42627FD5" w:rsidR="006A36A9" w:rsidRPr="006B2B28"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6B2B28">
        <w:rPr>
          <w:rFonts w:ascii="Calibri" w:eastAsia="SimSun" w:hAnsi="Calibri" w:cs="Calibri"/>
          <w:bCs/>
          <w:kern w:val="1"/>
          <w:sz w:val="22"/>
          <w:szCs w:val="22"/>
          <w:lang w:eastAsia="hi-IN" w:bidi="hi-IN"/>
        </w:rPr>
        <w:t xml:space="preserve">Příloha č. 2: </w:t>
      </w:r>
      <w:r w:rsidR="00A503A9">
        <w:rPr>
          <w:rFonts w:ascii="Calibri" w:eastAsia="SimSun" w:hAnsi="Calibri" w:cs="Calibri"/>
          <w:bCs/>
          <w:kern w:val="1"/>
          <w:sz w:val="22"/>
          <w:szCs w:val="22"/>
          <w:lang w:eastAsia="hi-IN" w:bidi="hi-IN"/>
        </w:rPr>
        <w:t>S</w:t>
      </w:r>
      <w:r w:rsidRPr="006B2B28">
        <w:rPr>
          <w:rFonts w:ascii="Calibri" w:eastAsia="SimSun" w:hAnsi="Calibri" w:cs="Calibri"/>
          <w:bCs/>
          <w:kern w:val="1"/>
          <w:sz w:val="22"/>
          <w:szCs w:val="22"/>
          <w:lang w:eastAsia="hi-IN" w:bidi="hi-IN"/>
        </w:rPr>
        <w:t xml:space="preserve">pecifikace </w:t>
      </w:r>
      <w:bookmarkStart w:id="4" w:name="_Hlk20150583"/>
      <w:r w:rsidR="00A503A9">
        <w:rPr>
          <w:rFonts w:ascii="Calibri" w:eastAsia="SimSun" w:hAnsi="Calibri" w:cs="Calibri"/>
          <w:bCs/>
          <w:kern w:val="1"/>
          <w:sz w:val="22"/>
          <w:szCs w:val="22"/>
          <w:lang w:eastAsia="hi-IN" w:bidi="hi-IN"/>
        </w:rPr>
        <w:t>zdravotnického vybavení</w:t>
      </w:r>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14CB0013" w:rsidR="00710649" w:rsidRDefault="00710649" w:rsidP="00710649">
      <w:pPr>
        <w:rPr>
          <w:rFonts w:ascii="Calibri" w:hAnsi="Calibri" w:cs="Calibri"/>
          <w:bCs/>
          <w:sz w:val="22"/>
          <w:szCs w:val="22"/>
        </w:rPr>
      </w:pPr>
    </w:p>
    <w:p w14:paraId="4ACE96A5" w14:textId="77777777" w:rsidR="006B2B28" w:rsidRDefault="006B2B28"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4"/>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r w:rsidR="00C34021" w:rsidRPr="00B715FE" w14:paraId="2D118124"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0AFBB8D5" w14:textId="77777777" w:rsidR="00C34021" w:rsidRDefault="00C34021" w:rsidP="00B51F24">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75EE8683" w14:textId="77777777" w:rsidR="00C34021" w:rsidRPr="00B90A24" w:rsidRDefault="00C34021"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AB4633" w14:textId="77777777" w:rsidR="00C34021" w:rsidRPr="00B90A24" w:rsidRDefault="00C3402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7B1010B" w14:textId="77777777" w:rsidR="00C34021" w:rsidRPr="00B90A24" w:rsidRDefault="00C34021"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C820020" w14:textId="77777777" w:rsidR="00C34021" w:rsidRPr="00B90A24" w:rsidRDefault="00C3402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24BB2A8" w14:textId="77777777" w:rsidR="00C34021" w:rsidRPr="00B90A24" w:rsidRDefault="00C34021"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FC844A2" w:rsidR="00D02334" w:rsidRPr="00B071C9" w:rsidRDefault="00D02334" w:rsidP="00391180">
      <w:pPr>
        <w:rPr>
          <w:rFonts w:ascii="Calibri" w:hAnsi="Calibri" w:cs="Calibri"/>
          <w:b/>
          <w:bCs/>
        </w:rPr>
      </w:pPr>
      <w:r w:rsidRPr="00391180">
        <w:rPr>
          <w:rFonts w:ascii="Calibri" w:hAnsi="Calibri" w:cs="Calibri"/>
          <w:b/>
          <w:bCs/>
        </w:rPr>
        <w:lastRenderedPageBreak/>
        <w:t xml:space="preserve">Příloha č. 2: </w:t>
      </w:r>
      <w:r w:rsidR="00A503A9">
        <w:rPr>
          <w:rFonts w:ascii="Calibri" w:hAnsi="Calibri" w:cs="Calibri"/>
          <w:b/>
          <w:bCs/>
        </w:rPr>
        <w:t>S</w:t>
      </w:r>
      <w:r w:rsidRPr="00391180">
        <w:rPr>
          <w:rFonts w:ascii="Calibri" w:hAnsi="Calibri" w:cs="Calibri"/>
          <w:b/>
          <w:bCs/>
        </w:rPr>
        <w:t xml:space="preserve">pecifikace </w:t>
      </w:r>
      <w:r w:rsidR="00A503A9">
        <w:rPr>
          <w:rFonts w:ascii="Calibri" w:hAnsi="Calibri" w:cs="Calibri"/>
          <w:b/>
          <w:bCs/>
        </w:rPr>
        <w:t>zdravotnického vybavení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711A0C3F" w14:textId="77777777" w:rsidR="001964C4" w:rsidRDefault="001964C4" w:rsidP="001964C4">
        <w:pPr>
          <w:pStyle w:val="Zpat"/>
          <w:tabs>
            <w:tab w:val="left" w:pos="6330"/>
            <w:tab w:val="right" w:pos="9864"/>
          </w:tabs>
          <w:rPr>
            <w:rFonts w:ascii="Calibri" w:hAnsi="Calibri" w:cs="Calibri"/>
            <w:sz w:val="22"/>
            <w:szCs w:val="22"/>
          </w:rPr>
        </w:pPr>
      </w:p>
      <w:p w14:paraId="662BB4FF" w14:textId="7D79D573" w:rsidR="001964C4" w:rsidRPr="008908D8" w:rsidRDefault="001964C4" w:rsidP="001964C4">
        <w:pPr>
          <w:pStyle w:val="Zpat"/>
          <w:tabs>
            <w:tab w:val="left" w:pos="6330"/>
            <w:tab w:val="right" w:pos="9864"/>
          </w:tabs>
          <w:rPr>
            <w:rFonts w:asciiTheme="minorHAnsi" w:hAnsiTheme="minorHAnsi"/>
            <w:sz w:val="20"/>
            <w:szCs w:val="20"/>
          </w:rPr>
        </w:pPr>
        <w:r w:rsidRPr="008908D8">
          <w:rPr>
            <w:rFonts w:asciiTheme="minorHAnsi" w:hAnsiTheme="minorHAnsi"/>
            <w:sz w:val="20"/>
            <w:szCs w:val="20"/>
          </w:rPr>
          <w:t>Název projektu: „</w:t>
        </w:r>
        <w:r w:rsidR="00A257CB">
          <w:rPr>
            <w:rFonts w:asciiTheme="minorHAnsi" w:hAnsiTheme="minorHAnsi"/>
            <w:sz w:val="20"/>
            <w:szCs w:val="20"/>
          </w:rPr>
          <w:t>Modernizace lůžkového fondu</w:t>
        </w:r>
        <w:r w:rsidRPr="008908D8">
          <w:rPr>
            <w:rFonts w:asciiTheme="minorHAnsi" w:hAnsiTheme="minorHAnsi"/>
            <w:sz w:val="20"/>
            <w:szCs w:val="20"/>
          </w:rPr>
          <w:t xml:space="preserve">“, </w:t>
        </w:r>
      </w:p>
      <w:p w14:paraId="35CB7C32" w14:textId="14AAA11D" w:rsidR="001964C4" w:rsidRPr="008908D8" w:rsidRDefault="001964C4" w:rsidP="001964C4">
        <w:pPr>
          <w:pStyle w:val="Zpat"/>
          <w:tabs>
            <w:tab w:val="left" w:pos="6330"/>
            <w:tab w:val="right" w:pos="9864"/>
          </w:tabs>
          <w:rPr>
            <w:rFonts w:asciiTheme="minorHAnsi" w:hAnsiTheme="minorHAnsi"/>
            <w:sz w:val="20"/>
            <w:szCs w:val="20"/>
          </w:rPr>
        </w:pPr>
        <w:proofErr w:type="spellStart"/>
        <w:r w:rsidRPr="008908D8">
          <w:rPr>
            <w:rFonts w:asciiTheme="minorHAnsi" w:hAnsiTheme="minorHAnsi"/>
            <w:sz w:val="20"/>
            <w:szCs w:val="20"/>
          </w:rPr>
          <w:t>reg</w:t>
        </w:r>
        <w:proofErr w:type="spellEnd"/>
        <w:r w:rsidRPr="008908D8">
          <w:rPr>
            <w:rFonts w:asciiTheme="minorHAnsi" w:hAnsiTheme="minorHAnsi"/>
            <w:sz w:val="20"/>
            <w:szCs w:val="20"/>
          </w:rPr>
          <w:t>. č. CZ.06.2.56/0.0/0.0./16_043/000154</w:t>
        </w:r>
        <w:r w:rsidR="00A257CB">
          <w:rPr>
            <w:rFonts w:asciiTheme="minorHAnsi" w:hAnsiTheme="minorHAnsi"/>
            <w:sz w:val="20"/>
            <w:szCs w:val="20"/>
          </w:rPr>
          <w:t>8</w:t>
        </w:r>
        <w:r w:rsidRPr="008908D8">
          <w:rPr>
            <w:rFonts w:asciiTheme="minorHAnsi" w:hAnsiTheme="minorHAnsi"/>
            <w:sz w:val="20"/>
            <w:szCs w:val="20"/>
          </w:rPr>
          <w:t xml:space="preserve">                                                                              </w:t>
        </w:r>
      </w:p>
      <w:p w14:paraId="77DE50D2" w14:textId="42F683D2" w:rsidR="005B6B38" w:rsidRPr="00532F40" w:rsidRDefault="001964C4" w:rsidP="001964C4">
        <w:pPr>
          <w:pStyle w:val="Zpat"/>
          <w:tabs>
            <w:tab w:val="left" w:pos="6330"/>
            <w:tab w:val="right" w:pos="9864"/>
          </w:tabs>
          <w:rPr>
            <w:rFonts w:ascii="Calibri" w:hAnsi="Calibri" w:cs="Calibri"/>
            <w:sz w:val="22"/>
            <w:szCs w:val="22"/>
          </w:rPr>
        </w:pPr>
        <w:r w:rsidRPr="008908D8">
          <w:rPr>
            <w:rFonts w:asciiTheme="minorHAnsi" w:hAnsiTheme="minorHAnsi"/>
            <w:b/>
            <w:sz w:val="20"/>
            <w:szCs w:val="20"/>
          </w:rPr>
          <w:t>Tento projekt je spolufinancován Evropskou unií z Evropského fondu pro regionální rozvoj.</w:t>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1D91EAA1" w:rsidR="000A0FF3" w:rsidRPr="00020322" w:rsidRDefault="00635A4A"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21588B62">
          <wp:simplePos x="0" y="0"/>
          <wp:positionH relativeFrom="margin">
            <wp:posOffset>4214228</wp:posOffset>
          </wp:positionH>
          <wp:positionV relativeFrom="paragraph">
            <wp:posOffset>-141605</wp:posOffset>
          </wp:positionV>
          <wp:extent cx="2044800" cy="547200"/>
          <wp:effectExtent l="0" t="0" r="0" b="571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4800" cy="547200"/>
                  </a:xfrm>
                  <a:prstGeom prst="rect">
                    <a:avLst/>
                  </a:prstGeom>
                  <a:noFill/>
                </pic:spPr>
              </pic:pic>
            </a:graphicData>
          </a:graphic>
          <wp14:sizeRelH relativeFrom="page">
            <wp14:pctWidth>0</wp14:pctWidth>
          </wp14:sizeRelH>
          <wp14:sizeRelV relativeFrom="page">
            <wp14:pctHeight>0</wp14:pctHeight>
          </wp14:sizeRelV>
        </wp:anchor>
      </w:drawing>
    </w:r>
    <w:r w:rsidR="00284731"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0562EC4B">
          <wp:simplePos x="0" y="0"/>
          <wp:positionH relativeFrom="margin">
            <wp:posOffset>-291465</wp:posOffset>
          </wp:positionH>
          <wp:positionV relativeFrom="paragraph">
            <wp:posOffset>-269240</wp:posOffset>
          </wp:positionV>
          <wp:extent cx="4410000" cy="720000"/>
          <wp:effectExtent l="0" t="0" r="0" b="444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10000" cy="72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832FE"/>
    <w:rsid w:val="00085A62"/>
    <w:rsid w:val="00096B62"/>
    <w:rsid w:val="000A0FF3"/>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66F33"/>
    <w:rsid w:val="00170184"/>
    <w:rsid w:val="00171748"/>
    <w:rsid w:val="00180E2E"/>
    <w:rsid w:val="0018224F"/>
    <w:rsid w:val="001955A8"/>
    <w:rsid w:val="001964C4"/>
    <w:rsid w:val="001A5DAF"/>
    <w:rsid w:val="001C35B6"/>
    <w:rsid w:val="001C5CE9"/>
    <w:rsid w:val="001D2B83"/>
    <w:rsid w:val="001E1D60"/>
    <w:rsid w:val="001E6EAF"/>
    <w:rsid w:val="001F163B"/>
    <w:rsid w:val="001F2A9E"/>
    <w:rsid w:val="001F4F58"/>
    <w:rsid w:val="002050D5"/>
    <w:rsid w:val="00207242"/>
    <w:rsid w:val="0021595B"/>
    <w:rsid w:val="00221998"/>
    <w:rsid w:val="00252024"/>
    <w:rsid w:val="00254B7C"/>
    <w:rsid w:val="00276440"/>
    <w:rsid w:val="00284731"/>
    <w:rsid w:val="002960DC"/>
    <w:rsid w:val="00297C25"/>
    <w:rsid w:val="002A227A"/>
    <w:rsid w:val="002B6DB3"/>
    <w:rsid w:val="002E0B61"/>
    <w:rsid w:val="00307BDD"/>
    <w:rsid w:val="00321D13"/>
    <w:rsid w:val="003344D5"/>
    <w:rsid w:val="0034495D"/>
    <w:rsid w:val="003506AD"/>
    <w:rsid w:val="003563C3"/>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1155D"/>
    <w:rsid w:val="00424E16"/>
    <w:rsid w:val="0043610E"/>
    <w:rsid w:val="00452618"/>
    <w:rsid w:val="0045677B"/>
    <w:rsid w:val="00462F7D"/>
    <w:rsid w:val="00465A4E"/>
    <w:rsid w:val="00476EFC"/>
    <w:rsid w:val="00480E42"/>
    <w:rsid w:val="00494B52"/>
    <w:rsid w:val="004A44B7"/>
    <w:rsid w:val="004A629E"/>
    <w:rsid w:val="004D2459"/>
    <w:rsid w:val="00503326"/>
    <w:rsid w:val="0053054B"/>
    <w:rsid w:val="00532F40"/>
    <w:rsid w:val="00553D41"/>
    <w:rsid w:val="00562475"/>
    <w:rsid w:val="005624BC"/>
    <w:rsid w:val="00565B2B"/>
    <w:rsid w:val="0059677A"/>
    <w:rsid w:val="005B6B38"/>
    <w:rsid w:val="005C580D"/>
    <w:rsid w:val="005D13F6"/>
    <w:rsid w:val="005D2191"/>
    <w:rsid w:val="005F253D"/>
    <w:rsid w:val="00635A4A"/>
    <w:rsid w:val="00636C16"/>
    <w:rsid w:val="006A2832"/>
    <w:rsid w:val="006A36A9"/>
    <w:rsid w:val="006B2B28"/>
    <w:rsid w:val="006B385E"/>
    <w:rsid w:val="006C07FB"/>
    <w:rsid w:val="006D0171"/>
    <w:rsid w:val="006D5927"/>
    <w:rsid w:val="007043A0"/>
    <w:rsid w:val="00710649"/>
    <w:rsid w:val="0076251E"/>
    <w:rsid w:val="007732BE"/>
    <w:rsid w:val="007804AA"/>
    <w:rsid w:val="00782111"/>
    <w:rsid w:val="00795A37"/>
    <w:rsid w:val="007A42E8"/>
    <w:rsid w:val="007B50EB"/>
    <w:rsid w:val="007B6512"/>
    <w:rsid w:val="007D3999"/>
    <w:rsid w:val="007D4423"/>
    <w:rsid w:val="007D4588"/>
    <w:rsid w:val="007E4749"/>
    <w:rsid w:val="00800356"/>
    <w:rsid w:val="0080560B"/>
    <w:rsid w:val="00836966"/>
    <w:rsid w:val="00873BD7"/>
    <w:rsid w:val="008908D8"/>
    <w:rsid w:val="00893E5E"/>
    <w:rsid w:val="00896738"/>
    <w:rsid w:val="008A728C"/>
    <w:rsid w:val="008C432C"/>
    <w:rsid w:val="008D1AAD"/>
    <w:rsid w:val="008E76A1"/>
    <w:rsid w:val="008F2185"/>
    <w:rsid w:val="008F356C"/>
    <w:rsid w:val="008F7002"/>
    <w:rsid w:val="00907179"/>
    <w:rsid w:val="009151DB"/>
    <w:rsid w:val="009212FF"/>
    <w:rsid w:val="009250B6"/>
    <w:rsid w:val="0093122C"/>
    <w:rsid w:val="00947296"/>
    <w:rsid w:val="00950EAA"/>
    <w:rsid w:val="00964F90"/>
    <w:rsid w:val="00965C19"/>
    <w:rsid w:val="00977058"/>
    <w:rsid w:val="00985AB3"/>
    <w:rsid w:val="00994D9E"/>
    <w:rsid w:val="009A5AB0"/>
    <w:rsid w:val="009B0C36"/>
    <w:rsid w:val="009B7886"/>
    <w:rsid w:val="009C4212"/>
    <w:rsid w:val="009C6E46"/>
    <w:rsid w:val="009F261B"/>
    <w:rsid w:val="00A257CB"/>
    <w:rsid w:val="00A301BA"/>
    <w:rsid w:val="00A36F2B"/>
    <w:rsid w:val="00A37978"/>
    <w:rsid w:val="00A503A9"/>
    <w:rsid w:val="00A62598"/>
    <w:rsid w:val="00A72C26"/>
    <w:rsid w:val="00A90B95"/>
    <w:rsid w:val="00A938BF"/>
    <w:rsid w:val="00A97B84"/>
    <w:rsid w:val="00A97DF3"/>
    <w:rsid w:val="00AB34FE"/>
    <w:rsid w:val="00AC1C6A"/>
    <w:rsid w:val="00AE2B3E"/>
    <w:rsid w:val="00AF367E"/>
    <w:rsid w:val="00B071C9"/>
    <w:rsid w:val="00B2509B"/>
    <w:rsid w:val="00B666DA"/>
    <w:rsid w:val="00B67C66"/>
    <w:rsid w:val="00B72071"/>
    <w:rsid w:val="00B768F5"/>
    <w:rsid w:val="00B774C6"/>
    <w:rsid w:val="00BA23D8"/>
    <w:rsid w:val="00BA2736"/>
    <w:rsid w:val="00BA75DD"/>
    <w:rsid w:val="00BA7FE6"/>
    <w:rsid w:val="00BC3994"/>
    <w:rsid w:val="00BC5379"/>
    <w:rsid w:val="00BE443A"/>
    <w:rsid w:val="00BF24BB"/>
    <w:rsid w:val="00BF2FC2"/>
    <w:rsid w:val="00C156D2"/>
    <w:rsid w:val="00C168C7"/>
    <w:rsid w:val="00C34021"/>
    <w:rsid w:val="00C57889"/>
    <w:rsid w:val="00C84EB9"/>
    <w:rsid w:val="00C92EC4"/>
    <w:rsid w:val="00C96C5E"/>
    <w:rsid w:val="00CA0617"/>
    <w:rsid w:val="00CB09EF"/>
    <w:rsid w:val="00CB32A5"/>
    <w:rsid w:val="00CB5F41"/>
    <w:rsid w:val="00CC268A"/>
    <w:rsid w:val="00CC3673"/>
    <w:rsid w:val="00CD5890"/>
    <w:rsid w:val="00CD5D07"/>
    <w:rsid w:val="00CF0773"/>
    <w:rsid w:val="00D02334"/>
    <w:rsid w:val="00D13172"/>
    <w:rsid w:val="00D16900"/>
    <w:rsid w:val="00D350A6"/>
    <w:rsid w:val="00D60629"/>
    <w:rsid w:val="00D61838"/>
    <w:rsid w:val="00D61FD0"/>
    <w:rsid w:val="00D71975"/>
    <w:rsid w:val="00D7201F"/>
    <w:rsid w:val="00D72EBB"/>
    <w:rsid w:val="00D73A4C"/>
    <w:rsid w:val="00D83A47"/>
    <w:rsid w:val="00D845B1"/>
    <w:rsid w:val="00DA2B06"/>
    <w:rsid w:val="00DA3510"/>
    <w:rsid w:val="00DA5A12"/>
    <w:rsid w:val="00DD4B70"/>
    <w:rsid w:val="00DE52E6"/>
    <w:rsid w:val="00E228EC"/>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310B2"/>
    <w:rsid w:val="00F514C1"/>
    <w:rsid w:val="00F800E8"/>
    <w:rsid w:val="00F80236"/>
    <w:rsid w:val="00F837E0"/>
    <w:rsid w:val="00F900C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11</Pages>
  <Words>3557</Words>
  <Characters>20988</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22</cp:revision>
  <cp:lastPrinted>2018-10-01T07:59:00Z</cp:lastPrinted>
  <dcterms:created xsi:type="dcterms:W3CDTF">2020-01-21T10:44:00Z</dcterms:created>
  <dcterms:modified xsi:type="dcterms:W3CDTF">2020-09-15T16:28:00Z</dcterms:modified>
</cp:coreProperties>
</file>