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D422BD" w14:textId="77777777" w:rsidR="001D1372" w:rsidRPr="008B44B2" w:rsidRDefault="001D1372" w:rsidP="009B4E45">
      <w:pPr>
        <w:jc w:val="both"/>
        <w:outlineLvl w:val="0"/>
        <w:rPr>
          <w:rFonts w:eastAsia="Calibri" w:cs="Arial"/>
          <w:b/>
          <w:sz w:val="28"/>
          <w:szCs w:val="28"/>
          <w:lang w:eastAsia="en-US"/>
        </w:rPr>
      </w:pPr>
    </w:p>
    <w:p w14:paraId="7B457051" w14:textId="5A42B1BD" w:rsidR="002B39F1" w:rsidRPr="008B44B2" w:rsidRDefault="002B39F1" w:rsidP="009B4E45">
      <w:pPr>
        <w:jc w:val="both"/>
        <w:outlineLvl w:val="0"/>
        <w:rPr>
          <w:rFonts w:eastAsia="Calibri" w:cs="Arial"/>
          <w:b/>
          <w:sz w:val="28"/>
          <w:szCs w:val="28"/>
          <w:lang w:eastAsia="en-US"/>
        </w:rPr>
      </w:pPr>
      <w:r w:rsidRPr="008B44B2">
        <w:rPr>
          <w:rFonts w:eastAsia="Calibri" w:cs="Arial"/>
          <w:b/>
          <w:sz w:val="28"/>
          <w:szCs w:val="28"/>
          <w:lang w:eastAsia="en-US"/>
        </w:rPr>
        <w:t xml:space="preserve">Příloha č. </w:t>
      </w:r>
      <w:r w:rsidR="00E433CE">
        <w:rPr>
          <w:rFonts w:eastAsia="Calibri" w:cs="Arial"/>
          <w:b/>
          <w:sz w:val="28"/>
          <w:szCs w:val="28"/>
          <w:lang w:eastAsia="en-US"/>
        </w:rPr>
        <w:t>2</w:t>
      </w:r>
      <w:r w:rsidRPr="008B44B2">
        <w:rPr>
          <w:rFonts w:eastAsia="Calibri" w:cs="Arial"/>
          <w:b/>
          <w:sz w:val="28"/>
          <w:szCs w:val="28"/>
          <w:lang w:eastAsia="en-US"/>
        </w:rPr>
        <w:t xml:space="preserve"> </w:t>
      </w:r>
      <w:r w:rsidR="002D4509" w:rsidRPr="008B44B2">
        <w:rPr>
          <w:rFonts w:eastAsia="Calibri" w:cs="Arial"/>
          <w:b/>
          <w:sz w:val="28"/>
          <w:szCs w:val="28"/>
          <w:lang w:eastAsia="en-US"/>
        </w:rPr>
        <w:t>zadávací dokumentace</w:t>
      </w:r>
      <w:r w:rsidRPr="008B44B2">
        <w:rPr>
          <w:rFonts w:eastAsia="Calibri" w:cs="Arial"/>
          <w:b/>
          <w:sz w:val="28"/>
          <w:szCs w:val="28"/>
          <w:lang w:eastAsia="en-US"/>
        </w:rPr>
        <w:t xml:space="preserve"> - </w:t>
      </w:r>
      <w:r w:rsidR="00205EE2" w:rsidRPr="008B44B2">
        <w:rPr>
          <w:rFonts w:eastAsia="Calibri" w:cs="Arial"/>
          <w:b/>
          <w:sz w:val="28"/>
          <w:szCs w:val="28"/>
          <w:lang w:eastAsia="en-US"/>
        </w:rPr>
        <w:t>T</w:t>
      </w:r>
      <w:r w:rsidRPr="008B44B2">
        <w:rPr>
          <w:rFonts w:eastAsia="Calibri" w:cs="Arial"/>
          <w:b/>
          <w:sz w:val="28"/>
          <w:szCs w:val="28"/>
          <w:lang w:eastAsia="en-US"/>
        </w:rPr>
        <w:t xml:space="preserve">echnické podmínky </w:t>
      </w:r>
      <w:r w:rsidR="00AA5638">
        <w:rPr>
          <w:rFonts w:eastAsia="Calibri" w:cs="Arial"/>
          <w:b/>
          <w:sz w:val="28"/>
          <w:szCs w:val="28"/>
          <w:lang w:eastAsia="en-US"/>
        </w:rPr>
        <w:t>pro část 1</w:t>
      </w:r>
    </w:p>
    <w:p w14:paraId="31F2D474" w14:textId="77777777" w:rsidR="00F42F2C" w:rsidRPr="008B44B2" w:rsidRDefault="00F42F2C" w:rsidP="009B4E45">
      <w:pPr>
        <w:jc w:val="both"/>
        <w:outlineLvl w:val="0"/>
        <w:rPr>
          <w:rFonts w:eastAsia="Calibri" w:cs="Arial"/>
          <w:b/>
          <w:sz w:val="28"/>
          <w:szCs w:val="28"/>
          <w:lang w:eastAsia="en-US"/>
        </w:rPr>
      </w:pPr>
    </w:p>
    <w:p w14:paraId="4BCD37E3" w14:textId="31947BD4" w:rsidR="00F42F2C" w:rsidRPr="008B44B2" w:rsidRDefault="00F42F2C" w:rsidP="009B4E45">
      <w:pPr>
        <w:jc w:val="both"/>
        <w:outlineLvl w:val="0"/>
        <w:rPr>
          <w:rFonts w:eastAsia="Calibri" w:cs="Arial"/>
          <w:b/>
          <w:sz w:val="28"/>
          <w:szCs w:val="28"/>
          <w:lang w:eastAsia="en-US"/>
        </w:rPr>
      </w:pPr>
      <w:r w:rsidRPr="008B44B2">
        <w:rPr>
          <w:rFonts w:cs="Arial"/>
          <w:b/>
          <w:sz w:val="28"/>
          <w:szCs w:val="28"/>
        </w:rPr>
        <w:t xml:space="preserve">Vyplněná příloha č. </w:t>
      </w:r>
      <w:r w:rsidR="00E433CE">
        <w:rPr>
          <w:rFonts w:cs="Arial"/>
          <w:b/>
          <w:sz w:val="28"/>
          <w:szCs w:val="28"/>
        </w:rPr>
        <w:t>2</w:t>
      </w:r>
      <w:r w:rsidRPr="008B44B2">
        <w:rPr>
          <w:rFonts w:cs="Arial"/>
          <w:b/>
          <w:sz w:val="28"/>
          <w:szCs w:val="28"/>
        </w:rPr>
        <w:t xml:space="preserve"> tvoří nedílnou součást nabídky účastníka zadávacího řízení.</w:t>
      </w:r>
    </w:p>
    <w:p w14:paraId="1AE5DFD3" w14:textId="77777777" w:rsidR="00074528" w:rsidRPr="008B44B2" w:rsidRDefault="00074528" w:rsidP="009B4E45">
      <w:pPr>
        <w:jc w:val="both"/>
        <w:outlineLvl w:val="0"/>
        <w:rPr>
          <w:rFonts w:eastAsia="Calibri" w:cs="Arial"/>
          <w:b/>
          <w:sz w:val="28"/>
          <w:szCs w:val="28"/>
          <w:lang w:eastAsia="en-US"/>
        </w:rPr>
      </w:pPr>
    </w:p>
    <w:p w14:paraId="7FC86BC1" w14:textId="77777777" w:rsidR="000E1014" w:rsidRPr="008B44B2" w:rsidRDefault="002B39F1" w:rsidP="00F42F2C">
      <w:pPr>
        <w:shd w:val="clear" w:color="auto" w:fill="FFD966" w:themeFill="accent4" w:themeFillTint="99"/>
        <w:jc w:val="both"/>
        <w:outlineLvl w:val="0"/>
        <w:rPr>
          <w:rFonts w:cs="Arial"/>
          <w:b/>
          <w:sz w:val="24"/>
        </w:rPr>
      </w:pPr>
      <w:r w:rsidRPr="008B44B2">
        <w:rPr>
          <w:rFonts w:cs="Arial"/>
          <w:b/>
          <w:sz w:val="24"/>
        </w:rPr>
        <w:t xml:space="preserve">Název veřejné zakázky:      </w:t>
      </w:r>
    </w:p>
    <w:p w14:paraId="46DABD9B" w14:textId="5776DD75" w:rsidR="0073070F" w:rsidRPr="008B44B2" w:rsidRDefault="00E45C67" w:rsidP="00F42F2C">
      <w:pPr>
        <w:shd w:val="clear" w:color="auto" w:fill="FFD966" w:themeFill="accent4" w:themeFillTint="99"/>
        <w:jc w:val="both"/>
        <w:rPr>
          <w:rFonts w:cs="Arial"/>
          <w:b/>
          <w:sz w:val="32"/>
          <w:szCs w:val="32"/>
        </w:rPr>
      </w:pPr>
      <w:r w:rsidRPr="008B44B2">
        <w:rPr>
          <w:rFonts w:cs="Arial"/>
          <w:b/>
          <w:sz w:val="32"/>
          <w:szCs w:val="32"/>
        </w:rPr>
        <w:t xml:space="preserve">Dovybavení pracoviště PET/CT </w:t>
      </w:r>
      <w:r w:rsidR="00DC5760" w:rsidRPr="008B44B2">
        <w:rPr>
          <w:rFonts w:cs="Arial"/>
          <w:b/>
          <w:sz w:val="32"/>
          <w:szCs w:val="32"/>
        </w:rPr>
        <w:t>– část 1</w:t>
      </w:r>
    </w:p>
    <w:p w14:paraId="50A8ABC3" w14:textId="77777777" w:rsidR="00393D63" w:rsidRPr="008B44B2" w:rsidRDefault="00393D63" w:rsidP="002B39F1">
      <w:pPr>
        <w:jc w:val="both"/>
        <w:rPr>
          <w:rFonts w:cs="Arial"/>
          <w:b/>
          <w:bCs/>
          <w:sz w:val="24"/>
        </w:rPr>
      </w:pPr>
    </w:p>
    <w:p w14:paraId="71D24A7A" w14:textId="77777777" w:rsidR="00F42F2C" w:rsidRPr="008B44B2" w:rsidRDefault="00F42F2C" w:rsidP="00F42F2C">
      <w:pPr>
        <w:autoSpaceDE w:val="0"/>
        <w:autoSpaceDN w:val="0"/>
        <w:adjustRightInd w:val="0"/>
        <w:spacing w:line="276" w:lineRule="auto"/>
        <w:rPr>
          <w:rFonts w:eastAsia="Calibri" w:cs="Arial"/>
          <w:b/>
          <w:bCs/>
          <w:color w:val="000000"/>
          <w:sz w:val="22"/>
          <w:szCs w:val="22"/>
          <w:lang w:eastAsia="en-US"/>
        </w:rPr>
      </w:pPr>
      <w:r w:rsidRPr="008B44B2">
        <w:rPr>
          <w:rFonts w:eastAsia="Calibri" w:cs="Arial"/>
          <w:b/>
          <w:bCs/>
          <w:color w:val="000000"/>
          <w:sz w:val="22"/>
          <w:szCs w:val="22"/>
          <w:lang w:eastAsia="en-US"/>
        </w:rPr>
        <w:t xml:space="preserve">Podrobnosti předmětu veřejné zakázky (technické podmínky) </w:t>
      </w:r>
    </w:p>
    <w:p w14:paraId="2B802714" w14:textId="77777777" w:rsidR="00F42F2C" w:rsidRPr="008B44B2" w:rsidRDefault="00F42F2C" w:rsidP="00F42F2C">
      <w:pPr>
        <w:spacing w:line="276" w:lineRule="auto"/>
        <w:jc w:val="both"/>
        <w:rPr>
          <w:rFonts w:cs="Arial"/>
          <w:sz w:val="22"/>
          <w:szCs w:val="22"/>
        </w:rPr>
      </w:pPr>
      <w:r w:rsidRPr="008B44B2">
        <w:rPr>
          <w:rFonts w:cs="Arial"/>
          <w:sz w:val="22"/>
          <w:szCs w:val="22"/>
        </w:rPr>
        <w:t xml:space="preserve">Zadavatel vymezuje níže </w:t>
      </w:r>
      <w:r w:rsidRPr="008B44B2">
        <w:rPr>
          <w:rFonts w:cs="Arial"/>
          <w:b/>
          <w:sz w:val="22"/>
          <w:szCs w:val="22"/>
        </w:rPr>
        <w:t>závazné charakteristiky a požadavky</w:t>
      </w:r>
      <w:r w:rsidRPr="008B44B2">
        <w:rPr>
          <w:rFonts w:cs="Arial"/>
          <w:sz w:val="22"/>
          <w:szCs w:val="22"/>
        </w:rPr>
        <w:t xml:space="preserve"> na dodávku zdravotnické techniky.</w:t>
      </w:r>
    </w:p>
    <w:p w14:paraId="6E67EE5F" w14:textId="77777777" w:rsidR="00F42F2C" w:rsidRPr="008B44B2" w:rsidRDefault="00F42F2C" w:rsidP="00F42F2C">
      <w:pPr>
        <w:pStyle w:val="Zkladntext2"/>
        <w:rPr>
          <w:rFonts w:ascii="Arial" w:hAnsi="Arial" w:cs="Arial"/>
          <w:sz w:val="22"/>
          <w:szCs w:val="22"/>
        </w:rPr>
      </w:pPr>
    </w:p>
    <w:p w14:paraId="7BE8C0C7" w14:textId="70D7297A" w:rsidR="002B39F1" w:rsidRPr="008B44B2" w:rsidRDefault="002B39F1" w:rsidP="00F42F2C">
      <w:pPr>
        <w:jc w:val="both"/>
        <w:rPr>
          <w:rFonts w:cs="Arial"/>
          <w:sz w:val="22"/>
          <w:szCs w:val="22"/>
        </w:rPr>
      </w:pPr>
    </w:p>
    <w:p w14:paraId="2B388D54" w14:textId="7E8A4815" w:rsidR="008E1D92" w:rsidRPr="008B44B2" w:rsidRDefault="00AA5638" w:rsidP="00F041D0">
      <w:pPr>
        <w:suppressAutoHyphens/>
        <w:spacing w:after="160" w:line="276" w:lineRule="auto"/>
        <w:contextualSpacing/>
        <w:jc w:val="both"/>
        <w:rPr>
          <w:rFonts w:cs="Arial"/>
          <w:sz w:val="22"/>
          <w:szCs w:val="22"/>
        </w:rPr>
      </w:pPr>
      <w:r>
        <w:rPr>
          <w:rFonts w:ascii="Calibri" w:hAnsi="Calibr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33928CE2" w14:textId="22498C8D" w:rsidR="008710C5" w:rsidRPr="008B44B2" w:rsidRDefault="000D6B74" w:rsidP="000D6B74">
      <w:pPr>
        <w:pStyle w:val="Nadpis2"/>
        <w:rPr>
          <w:rFonts w:ascii="Arial" w:hAnsi="Arial"/>
          <w:sz w:val="28"/>
          <w:szCs w:val="28"/>
        </w:rPr>
      </w:pPr>
      <w:r>
        <w:rPr>
          <w:rFonts w:ascii="Arial" w:hAnsi="Arial"/>
          <w:sz w:val="28"/>
          <w:szCs w:val="28"/>
        </w:rPr>
        <w:t xml:space="preserve">A) </w:t>
      </w:r>
      <w:r w:rsidR="00602A33" w:rsidRPr="008B44B2">
        <w:rPr>
          <w:rFonts w:ascii="Arial" w:hAnsi="Arial"/>
          <w:sz w:val="28"/>
          <w:szCs w:val="28"/>
        </w:rPr>
        <w:t xml:space="preserve">Technické </w:t>
      </w:r>
      <w:r w:rsidR="00393D63" w:rsidRPr="008B44B2">
        <w:rPr>
          <w:rFonts w:ascii="Arial" w:hAnsi="Arial"/>
          <w:sz w:val="28"/>
          <w:szCs w:val="28"/>
        </w:rPr>
        <w:t>parametry</w:t>
      </w:r>
      <w:r w:rsidR="00A45ABD" w:rsidRPr="008B44B2">
        <w:rPr>
          <w:rFonts w:ascii="Arial" w:hAnsi="Arial"/>
          <w:sz w:val="28"/>
          <w:szCs w:val="28"/>
        </w:rPr>
        <w:t xml:space="preserve"> </w:t>
      </w:r>
    </w:p>
    <w:p w14:paraId="6AA2A34C" w14:textId="77777777" w:rsidR="00DC2021" w:rsidRPr="008B44B2" w:rsidRDefault="00DC2021" w:rsidP="002A27EE">
      <w:pPr>
        <w:rPr>
          <w:rFonts w:cs="Arial"/>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15491" w:rsidRPr="007F4E37" w14:paraId="0E74DDA3" w14:textId="77777777" w:rsidTr="00A36BA3">
        <w:trPr>
          <w:trHeight w:val="387"/>
          <w:tblHeader/>
        </w:trPr>
        <w:tc>
          <w:tcPr>
            <w:tcW w:w="4536" w:type="dxa"/>
            <w:shd w:val="clear" w:color="auto" w:fill="BDD6EE" w:themeFill="accent1" w:themeFillTint="66"/>
            <w:vAlign w:val="center"/>
          </w:tcPr>
          <w:p w14:paraId="7C5F7D23" w14:textId="77777777" w:rsidR="00615491" w:rsidRPr="008B44B2" w:rsidRDefault="00615491" w:rsidP="00A36BA3">
            <w:pPr>
              <w:autoSpaceDE w:val="0"/>
              <w:autoSpaceDN w:val="0"/>
              <w:adjustRightInd w:val="0"/>
              <w:rPr>
                <w:rFonts w:cs="Arial"/>
                <w:b/>
                <w:sz w:val="28"/>
                <w:szCs w:val="28"/>
              </w:rPr>
            </w:pPr>
            <w:r w:rsidRPr="008B44B2">
              <w:rPr>
                <w:rFonts w:cs="Arial"/>
                <w:b/>
                <w:sz w:val="28"/>
                <w:szCs w:val="28"/>
              </w:rPr>
              <w:t>Položka veřejné zakázky</w:t>
            </w:r>
          </w:p>
        </w:tc>
        <w:tc>
          <w:tcPr>
            <w:tcW w:w="5097" w:type="dxa"/>
            <w:gridSpan w:val="2"/>
            <w:shd w:val="clear" w:color="auto" w:fill="BDD6EE" w:themeFill="accent1" w:themeFillTint="66"/>
            <w:vAlign w:val="center"/>
          </w:tcPr>
          <w:p w14:paraId="7650A272" w14:textId="1ADEC9DD" w:rsidR="00615491" w:rsidRPr="008B44B2" w:rsidRDefault="00287E3D" w:rsidP="00A36BA3">
            <w:pPr>
              <w:autoSpaceDE w:val="0"/>
              <w:autoSpaceDN w:val="0"/>
              <w:adjustRightInd w:val="0"/>
              <w:rPr>
                <w:rFonts w:cs="Arial"/>
                <w:b/>
                <w:bCs/>
                <w:sz w:val="28"/>
                <w:szCs w:val="28"/>
              </w:rPr>
            </w:pPr>
            <w:r w:rsidRPr="008B44B2">
              <w:rPr>
                <w:rFonts w:cs="Arial"/>
                <w:b/>
                <w:sz w:val="28"/>
                <w:szCs w:val="28"/>
              </w:rPr>
              <w:t>Dozimetrický systém</w:t>
            </w:r>
            <w:r w:rsidR="0031657C" w:rsidRPr="008B44B2">
              <w:rPr>
                <w:rFonts w:cs="Arial"/>
                <w:b/>
                <w:sz w:val="28"/>
                <w:szCs w:val="28"/>
              </w:rPr>
              <w:t xml:space="preserve"> pro </w:t>
            </w:r>
            <w:r w:rsidRPr="008B44B2">
              <w:rPr>
                <w:rFonts w:cs="Arial"/>
                <w:b/>
                <w:sz w:val="28"/>
                <w:szCs w:val="28"/>
              </w:rPr>
              <w:t xml:space="preserve">RDG oddělení, pracoviště PET/CT </w:t>
            </w:r>
            <w:r w:rsidR="00B36241" w:rsidRPr="008B44B2">
              <w:rPr>
                <w:rFonts w:cs="Arial"/>
                <w:b/>
                <w:sz w:val="28"/>
                <w:szCs w:val="28"/>
              </w:rPr>
              <w:t xml:space="preserve">Pardubické </w:t>
            </w:r>
            <w:r w:rsidR="0031657C" w:rsidRPr="008B44B2">
              <w:rPr>
                <w:rFonts w:cs="Arial"/>
                <w:b/>
                <w:sz w:val="28"/>
                <w:szCs w:val="28"/>
              </w:rPr>
              <w:t>nemocnice</w:t>
            </w:r>
          </w:p>
        </w:tc>
      </w:tr>
      <w:tr w:rsidR="00615491" w:rsidRPr="007F4E37" w14:paraId="5976E868" w14:textId="77777777" w:rsidTr="00A36BA3">
        <w:trPr>
          <w:tblHeader/>
        </w:trPr>
        <w:tc>
          <w:tcPr>
            <w:tcW w:w="4536" w:type="dxa"/>
            <w:shd w:val="clear" w:color="auto" w:fill="F7CAAC" w:themeFill="accent2" w:themeFillTint="66"/>
          </w:tcPr>
          <w:p w14:paraId="3467712F" w14:textId="77777777" w:rsidR="00615491" w:rsidRPr="008B44B2" w:rsidRDefault="00615491" w:rsidP="00A36BA3">
            <w:pPr>
              <w:pStyle w:val="Nadpis6"/>
              <w:suppressAutoHyphens w:val="0"/>
              <w:autoSpaceDE w:val="0"/>
              <w:autoSpaceDN w:val="0"/>
              <w:adjustRightInd w:val="0"/>
              <w:outlineLvl w:val="5"/>
              <w:rPr>
                <w:rFonts w:ascii="Arial" w:eastAsia="Times New Roman" w:hAnsi="Arial" w:cs="Arial"/>
                <w:szCs w:val="24"/>
                <w:lang w:eastAsia="cs-CZ"/>
              </w:rPr>
            </w:pPr>
            <w:r w:rsidRPr="008B44B2">
              <w:rPr>
                <w:rFonts w:ascii="Arial" w:eastAsia="Times New Roman" w:hAnsi="Arial" w:cs="Arial"/>
                <w:szCs w:val="24"/>
                <w:lang w:eastAsia="cs-CZ"/>
              </w:rPr>
              <w:t>Závazné charakteristiky a požadavky</w:t>
            </w:r>
          </w:p>
        </w:tc>
        <w:tc>
          <w:tcPr>
            <w:tcW w:w="1276" w:type="dxa"/>
            <w:shd w:val="clear" w:color="auto" w:fill="F7CAAC" w:themeFill="accent2" w:themeFillTint="66"/>
          </w:tcPr>
          <w:p w14:paraId="7F6DF009" w14:textId="77777777" w:rsidR="00615491" w:rsidRPr="008B44B2" w:rsidRDefault="00615491" w:rsidP="00A36BA3">
            <w:pPr>
              <w:autoSpaceDE w:val="0"/>
              <w:autoSpaceDN w:val="0"/>
              <w:adjustRightInd w:val="0"/>
              <w:rPr>
                <w:rFonts w:cs="Arial"/>
                <w:b/>
                <w:sz w:val="22"/>
              </w:rPr>
            </w:pPr>
            <w:r w:rsidRPr="008B44B2">
              <w:rPr>
                <w:rFonts w:cs="Arial"/>
                <w:b/>
                <w:sz w:val="22"/>
              </w:rPr>
              <w:t>Splnění požadavku ANO/NE</w:t>
            </w:r>
          </w:p>
        </w:tc>
        <w:tc>
          <w:tcPr>
            <w:tcW w:w="3821" w:type="dxa"/>
            <w:shd w:val="clear" w:color="auto" w:fill="F7CAAC" w:themeFill="accent2" w:themeFillTint="66"/>
          </w:tcPr>
          <w:p w14:paraId="379E92EA" w14:textId="77777777" w:rsidR="00615491" w:rsidRPr="008B44B2" w:rsidRDefault="00615491" w:rsidP="00A36BA3">
            <w:pPr>
              <w:autoSpaceDE w:val="0"/>
              <w:autoSpaceDN w:val="0"/>
              <w:adjustRightInd w:val="0"/>
              <w:rPr>
                <w:rFonts w:cs="Arial"/>
                <w:b/>
                <w:sz w:val="22"/>
              </w:rPr>
            </w:pPr>
            <w:r w:rsidRPr="008B44B2">
              <w:rPr>
                <w:rFonts w:cs="Arial"/>
                <w:b/>
                <w:sz w:val="22"/>
              </w:rPr>
              <w:t>Popis specifikace nabízeného plnění, ze kterého bude vyplývat splnění požadavků stanovených zadavatelem, možno uvést odkaz na stránku v nabídce.</w:t>
            </w:r>
          </w:p>
        </w:tc>
      </w:tr>
      <w:tr w:rsidR="0009503C" w:rsidRPr="007F4E37" w14:paraId="1A49DB9B" w14:textId="77777777" w:rsidTr="00A36BA3">
        <w:tc>
          <w:tcPr>
            <w:tcW w:w="4536" w:type="dxa"/>
            <w:shd w:val="clear" w:color="auto" w:fill="auto"/>
          </w:tcPr>
          <w:p w14:paraId="14D203FC" w14:textId="77777777" w:rsidR="0009503C" w:rsidRPr="008B44B2" w:rsidRDefault="00AB4CDC" w:rsidP="0009503C">
            <w:pPr>
              <w:jc w:val="both"/>
              <w:rPr>
                <w:rFonts w:cs="Arial"/>
                <w:sz w:val="18"/>
                <w:szCs w:val="18"/>
              </w:rPr>
            </w:pPr>
            <w:r w:rsidRPr="008B44B2">
              <w:rPr>
                <w:rFonts w:cs="Arial"/>
                <w:sz w:val="18"/>
                <w:szCs w:val="18"/>
              </w:rPr>
              <w:t>Měřič povrchové kontaminace – 2 ks</w:t>
            </w:r>
          </w:p>
          <w:p w14:paraId="41BECFF9" w14:textId="4B10AA36" w:rsidR="00AB4CDC" w:rsidRPr="008B44B2" w:rsidRDefault="00AB4CDC" w:rsidP="00463792">
            <w:pPr>
              <w:jc w:val="both"/>
              <w:rPr>
                <w:rFonts w:cs="Arial"/>
                <w:sz w:val="18"/>
                <w:szCs w:val="18"/>
              </w:rPr>
            </w:pPr>
            <w:r w:rsidRPr="008B44B2">
              <w:rPr>
                <w:rFonts w:cs="Arial"/>
                <w:sz w:val="18"/>
                <w:szCs w:val="18"/>
              </w:rPr>
              <w:t>měření plošné kontaminace radionuklidy emitujícími záření beta/gama, přičemž se předpokládá optimalizována citlivost detektoru pro záření gama.</w:t>
            </w:r>
            <w:r w:rsidR="00463792" w:rsidRPr="008B44B2">
              <w:rPr>
                <w:rFonts w:cs="Arial"/>
                <w:sz w:val="18"/>
                <w:szCs w:val="18"/>
              </w:rPr>
              <w:t xml:space="preserve"> </w:t>
            </w:r>
            <w:r w:rsidRPr="008B44B2">
              <w:rPr>
                <w:rFonts w:cs="Arial"/>
                <w:sz w:val="18"/>
                <w:szCs w:val="18"/>
              </w:rPr>
              <w:t xml:space="preserve">Koncepce přístroje se předpokládá v přenosném provedení, umožňujícím jeho použití na oddělení nukleární medicíny. Zobrazování naměřených hodnot volitelně v jednotkách </w:t>
            </w:r>
            <w:proofErr w:type="spellStart"/>
            <w:r w:rsidRPr="008B44B2">
              <w:rPr>
                <w:rFonts w:cs="Arial"/>
                <w:sz w:val="18"/>
                <w:szCs w:val="18"/>
              </w:rPr>
              <w:t>cps</w:t>
            </w:r>
            <w:proofErr w:type="spellEnd"/>
            <w:r w:rsidRPr="008B44B2">
              <w:rPr>
                <w:rFonts w:cs="Arial"/>
                <w:sz w:val="18"/>
                <w:szCs w:val="18"/>
              </w:rPr>
              <w:t xml:space="preserve">, </w:t>
            </w:r>
            <w:proofErr w:type="spellStart"/>
            <w:r w:rsidRPr="008B44B2">
              <w:rPr>
                <w:rFonts w:cs="Arial"/>
                <w:sz w:val="18"/>
                <w:szCs w:val="18"/>
              </w:rPr>
              <w:t>Bq</w:t>
            </w:r>
            <w:proofErr w:type="spellEnd"/>
            <w:r w:rsidRPr="008B44B2">
              <w:rPr>
                <w:rFonts w:cs="Arial"/>
                <w:sz w:val="18"/>
                <w:szCs w:val="18"/>
              </w:rPr>
              <w:t xml:space="preserve"> a </w:t>
            </w:r>
            <w:proofErr w:type="spellStart"/>
            <w:r w:rsidRPr="008B44B2">
              <w:rPr>
                <w:rFonts w:cs="Arial"/>
                <w:sz w:val="18"/>
                <w:szCs w:val="18"/>
              </w:rPr>
              <w:t>Bq</w:t>
            </w:r>
            <w:proofErr w:type="spellEnd"/>
            <w:r w:rsidRPr="008B44B2">
              <w:rPr>
                <w:rFonts w:cs="Arial"/>
                <w:sz w:val="18"/>
                <w:szCs w:val="18"/>
              </w:rPr>
              <w:t>/cm2. Nastavení měření – specificky pro konkrétní radionuklid, hodnota korekčního faktoru pro konkrétní radionuklid v </w:t>
            </w:r>
            <w:proofErr w:type="spellStart"/>
            <w:r w:rsidRPr="008B44B2">
              <w:rPr>
                <w:rFonts w:cs="Arial"/>
                <w:sz w:val="18"/>
                <w:szCs w:val="18"/>
              </w:rPr>
              <w:t>cps</w:t>
            </w:r>
            <w:proofErr w:type="spellEnd"/>
            <w:r w:rsidRPr="008B44B2">
              <w:rPr>
                <w:rFonts w:cs="Arial"/>
                <w:sz w:val="18"/>
                <w:szCs w:val="18"/>
              </w:rPr>
              <w:t>/</w:t>
            </w:r>
            <w:proofErr w:type="spellStart"/>
            <w:r w:rsidRPr="008B44B2">
              <w:rPr>
                <w:rFonts w:cs="Arial"/>
                <w:sz w:val="18"/>
                <w:szCs w:val="18"/>
              </w:rPr>
              <w:t>Bq</w:t>
            </w:r>
            <w:proofErr w:type="spellEnd"/>
            <w:r w:rsidRPr="008B44B2">
              <w:rPr>
                <w:rFonts w:cs="Arial"/>
                <w:sz w:val="18"/>
                <w:szCs w:val="18"/>
              </w:rPr>
              <w:t xml:space="preserve"> resp. v </w:t>
            </w:r>
            <w:proofErr w:type="spellStart"/>
            <w:r w:rsidRPr="008B44B2">
              <w:rPr>
                <w:rFonts w:cs="Arial"/>
                <w:sz w:val="18"/>
                <w:szCs w:val="18"/>
              </w:rPr>
              <w:t>cps</w:t>
            </w:r>
            <w:proofErr w:type="spellEnd"/>
            <w:r w:rsidRPr="008B44B2">
              <w:rPr>
                <w:rFonts w:cs="Arial"/>
                <w:sz w:val="18"/>
                <w:szCs w:val="18"/>
              </w:rPr>
              <w:t>/(</w:t>
            </w:r>
            <w:proofErr w:type="spellStart"/>
            <w:r w:rsidRPr="008B44B2">
              <w:rPr>
                <w:rFonts w:cs="Arial"/>
                <w:sz w:val="18"/>
                <w:szCs w:val="18"/>
              </w:rPr>
              <w:t>Bq</w:t>
            </w:r>
            <w:proofErr w:type="spellEnd"/>
            <w:r w:rsidRPr="008B44B2">
              <w:rPr>
                <w:rFonts w:cs="Arial"/>
                <w:sz w:val="18"/>
                <w:szCs w:val="18"/>
              </w:rPr>
              <w:t>/cm2) je uživatelsky resp. servisně editovatelná. Knihovna radionuklidů - uživatelsky resp. servisně editovatelná.</w:t>
            </w:r>
            <w:r w:rsidR="00463792" w:rsidRPr="008B44B2">
              <w:rPr>
                <w:rFonts w:cs="Arial"/>
                <w:sz w:val="18"/>
                <w:szCs w:val="18"/>
              </w:rPr>
              <w:t xml:space="preserve"> </w:t>
            </w:r>
            <w:r w:rsidRPr="008B44B2">
              <w:rPr>
                <w:rFonts w:cs="Arial"/>
                <w:sz w:val="18"/>
                <w:szCs w:val="18"/>
              </w:rPr>
              <w:t xml:space="preserve">Přednastavené radionuklidy 18F, 99mTc. Napájení přístroje pomocí nabíjecích baterií.  Typově schválený přístroj pro používání v ČR </w:t>
            </w:r>
            <w:r w:rsidR="005010AE" w:rsidRPr="008B44B2">
              <w:rPr>
                <w:rFonts w:cs="Arial"/>
                <w:sz w:val="18"/>
                <w:szCs w:val="18"/>
              </w:rPr>
              <w:t>–</w:t>
            </w:r>
            <w:r w:rsidRPr="008B44B2">
              <w:rPr>
                <w:rFonts w:cs="Arial"/>
                <w:sz w:val="18"/>
                <w:szCs w:val="18"/>
              </w:rPr>
              <w:t xml:space="preserve"> </w:t>
            </w:r>
            <w:r w:rsidR="007F4E37">
              <w:rPr>
                <w:rFonts w:cs="Arial"/>
                <w:sz w:val="18"/>
                <w:szCs w:val="18"/>
              </w:rPr>
              <w:t>Počáteční metrologické ověření -</w:t>
            </w:r>
            <w:r w:rsidR="005010AE" w:rsidRPr="007F4E37">
              <w:rPr>
                <w:rFonts w:cs="Arial"/>
                <w:sz w:val="18"/>
                <w:szCs w:val="18"/>
              </w:rPr>
              <w:t xml:space="preserve">1ks </w:t>
            </w:r>
          </w:p>
        </w:tc>
        <w:tc>
          <w:tcPr>
            <w:tcW w:w="1276" w:type="dxa"/>
            <w:vAlign w:val="center"/>
          </w:tcPr>
          <w:p w14:paraId="503D5667" w14:textId="77777777" w:rsidR="0009503C" w:rsidRPr="008B44B2" w:rsidRDefault="0009503C" w:rsidP="0009503C">
            <w:pPr>
              <w:jc w:val="center"/>
              <w:rPr>
                <w:rFonts w:cs="Arial"/>
                <w:color w:val="FF0000"/>
                <w:szCs w:val="20"/>
              </w:rPr>
            </w:pPr>
            <w:r w:rsidRPr="008B44B2">
              <w:rPr>
                <w:rFonts w:cs="Arial"/>
                <w:color w:val="FF0000"/>
                <w:szCs w:val="20"/>
              </w:rPr>
              <w:t>(doplní dodavatel)</w:t>
            </w:r>
          </w:p>
        </w:tc>
        <w:tc>
          <w:tcPr>
            <w:tcW w:w="3821" w:type="dxa"/>
            <w:vAlign w:val="center"/>
          </w:tcPr>
          <w:p w14:paraId="5C288A2E" w14:textId="77777777" w:rsidR="0009503C" w:rsidRPr="008B44B2" w:rsidRDefault="0009503C" w:rsidP="0009503C">
            <w:pPr>
              <w:jc w:val="center"/>
              <w:rPr>
                <w:rFonts w:cs="Arial"/>
                <w:color w:val="FF0000"/>
                <w:szCs w:val="20"/>
              </w:rPr>
            </w:pPr>
            <w:r w:rsidRPr="008B44B2">
              <w:rPr>
                <w:rFonts w:cs="Arial"/>
                <w:color w:val="FF0000"/>
                <w:szCs w:val="20"/>
              </w:rPr>
              <w:t>(doplní dodavatel)</w:t>
            </w:r>
          </w:p>
        </w:tc>
      </w:tr>
      <w:tr w:rsidR="0009503C" w:rsidRPr="007F4E37" w14:paraId="2AA5D676" w14:textId="77777777" w:rsidTr="00A36BA3">
        <w:tc>
          <w:tcPr>
            <w:tcW w:w="4536" w:type="dxa"/>
            <w:shd w:val="clear" w:color="auto" w:fill="auto"/>
          </w:tcPr>
          <w:p w14:paraId="6EA30D91" w14:textId="77777777" w:rsidR="0009503C" w:rsidRPr="008B44B2" w:rsidRDefault="006547FB" w:rsidP="0009503C">
            <w:pPr>
              <w:jc w:val="both"/>
              <w:rPr>
                <w:rFonts w:cs="Arial"/>
                <w:sz w:val="18"/>
                <w:szCs w:val="18"/>
              </w:rPr>
            </w:pPr>
            <w:r w:rsidRPr="008B44B2">
              <w:rPr>
                <w:rFonts w:cs="Arial"/>
                <w:sz w:val="18"/>
                <w:szCs w:val="18"/>
              </w:rPr>
              <w:t>Čtečka pro digitální dozimetry – terminál – 1 ks</w:t>
            </w:r>
          </w:p>
          <w:p w14:paraId="56CE89F5" w14:textId="57C9FB2D" w:rsidR="00921B08" w:rsidRPr="008B44B2" w:rsidRDefault="00921B08" w:rsidP="00921B08">
            <w:pPr>
              <w:jc w:val="both"/>
              <w:rPr>
                <w:rFonts w:cs="Arial"/>
                <w:sz w:val="18"/>
                <w:szCs w:val="18"/>
              </w:rPr>
            </w:pPr>
            <w:r w:rsidRPr="008B44B2">
              <w:rPr>
                <w:rFonts w:cs="Arial"/>
                <w:sz w:val="18"/>
                <w:szCs w:val="18"/>
              </w:rPr>
              <w:t>vestavěný Průmyslový panelový počítač - řídí činnost celého systému a komunikuje s nadřazeným systémem (systémem SEOD-MP či jiným). Zahrnuje dotykový displej pro komunikaci s uživatelem. Čtečka (čtečky) dozimetrů – komunikují s vloženým dozimetrem. Jeden</w:t>
            </w:r>
          </w:p>
          <w:p w14:paraId="1E7A9B6F" w14:textId="673A79CA" w:rsidR="006547FB" w:rsidRPr="008B44B2" w:rsidRDefault="00921B08" w:rsidP="00921B08">
            <w:pPr>
              <w:jc w:val="both"/>
              <w:rPr>
                <w:rFonts w:cs="Arial"/>
                <w:sz w:val="18"/>
                <w:szCs w:val="18"/>
              </w:rPr>
            </w:pPr>
            <w:r w:rsidRPr="008B44B2">
              <w:rPr>
                <w:rFonts w:cs="Arial"/>
                <w:sz w:val="18"/>
                <w:szCs w:val="18"/>
              </w:rPr>
              <w:t xml:space="preserve">terminál s možností více čteček pro různé typy dozimetrů různých výrobců. Komponenty terminálu </w:t>
            </w:r>
            <w:r w:rsidRPr="008B44B2">
              <w:rPr>
                <w:rFonts w:cs="Arial"/>
                <w:sz w:val="18"/>
                <w:szCs w:val="18"/>
              </w:rPr>
              <w:lastRenderedPageBreak/>
              <w:t>uzavřeny v kompaktním kovovém obalu. Osoby vstupující do nebo vystupující z kontrolovaného pásma se identifikují pomocí svých identifikačních karet, čárových kódů nebo čipů. Další možností identifikace je vložení osobního identifikačního kódu a hesla pomocí dotykového displeje. Terminál ověří, zda jsou platné podmínky pro vstup do KP (platné povolení, nepřekroč. max. povolená dávka atd.)</w:t>
            </w:r>
          </w:p>
        </w:tc>
        <w:tc>
          <w:tcPr>
            <w:tcW w:w="1276" w:type="dxa"/>
            <w:vAlign w:val="center"/>
          </w:tcPr>
          <w:p w14:paraId="60A9A7CC" w14:textId="77777777" w:rsidR="0009503C" w:rsidRPr="008B44B2" w:rsidRDefault="0009503C" w:rsidP="0009503C">
            <w:pPr>
              <w:jc w:val="center"/>
              <w:rPr>
                <w:rFonts w:cs="Arial"/>
                <w:color w:val="FF0000"/>
                <w:szCs w:val="20"/>
              </w:rPr>
            </w:pPr>
            <w:r w:rsidRPr="008B44B2">
              <w:rPr>
                <w:rFonts w:cs="Arial"/>
                <w:color w:val="FF0000"/>
                <w:szCs w:val="20"/>
              </w:rPr>
              <w:lastRenderedPageBreak/>
              <w:t>(doplní dodavatel)</w:t>
            </w:r>
          </w:p>
        </w:tc>
        <w:tc>
          <w:tcPr>
            <w:tcW w:w="3821" w:type="dxa"/>
            <w:vAlign w:val="center"/>
          </w:tcPr>
          <w:p w14:paraId="679718F8" w14:textId="77777777" w:rsidR="0009503C" w:rsidRPr="008B44B2" w:rsidRDefault="0009503C" w:rsidP="0009503C">
            <w:pPr>
              <w:jc w:val="center"/>
              <w:rPr>
                <w:rFonts w:cs="Arial"/>
                <w:color w:val="FF0000"/>
                <w:szCs w:val="20"/>
              </w:rPr>
            </w:pPr>
            <w:r w:rsidRPr="008B44B2">
              <w:rPr>
                <w:rFonts w:cs="Arial"/>
                <w:color w:val="FF0000"/>
                <w:szCs w:val="20"/>
              </w:rPr>
              <w:t>(doplní dodavatel)</w:t>
            </w:r>
          </w:p>
        </w:tc>
      </w:tr>
      <w:tr w:rsidR="007D4305" w:rsidRPr="007F4E37" w14:paraId="2809B672" w14:textId="77777777" w:rsidTr="00A36BA3">
        <w:tc>
          <w:tcPr>
            <w:tcW w:w="4536" w:type="dxa"/>
            <w:shd w:val="clear" w:color="auto" w:fill="auto"/>
          </w:tcPr>
          <w:p w14:paraId="456AFFEA" w14:textId="77777777" w:rsidR="007D4305" w:rsidRPr="007F4E37" w:rsidRDefault="004B63A4" w:rsidP="004B63A4">
            <w:pPr>
              <w:jc w:val="both"/>
              <w:rPr>
                <w:rFonts w:cs="Arial"/>
                <w:sz w:val="18"/>
                <w:szCs w:val="18"/>
              </w:rPr>
            </w:pPr>
            <w:r w:rsidRPr="007F4E37">
              <w:rPr>
                <w:rFonts w:cs="Arial"/>
                <w:sz w:val="18"/>
                <w:szCs w:val="18"/>
              </w:rPr>
              <w:t>Osobní digitální dozimetr – 4 ks</w:t>
            </w:r>
          </w:p>
          <w:p w14:paraId="42ABEC65" w14:textId="4C1BEBC3" w:rsidR="004B63A4" w:rsidRPr="007F4E37" w:rsidRDefault="004B63A4" w:rsidP="004B63A4">
            <w:pPr>
              <w:jc w:val="both"/>
              <w:rPr>
                <w:rFonts w:cs="Arial"/>
                <w:sz w:val="18"/>
                <w:szCs w:val="18"/>
              </w:rPr>
            </w:pPr>
            <w:r w:rsidRPr="007F4E37">
              <w:rPr>
                <w:rFonts w:cs="Arial"/>
                <w:sz w:val="18"/>
                <w:szCs w:val="18"/>
              </w:rPr>
              <w:t xml:space="preserve">umožňují měření dávkového příkonu i osobního povrchového dávkového ekvivalentu </w:t>
            </w:r>
            <w:proofErr w:type="spellStart"/>
            <w:r w:rsidRPr="007F4E37">
              <w:rPr>
                <w:rFonts w:cs="Arial"/>
                <w:sz w:val="18"/>
                <w:szCs w:val="18"/>
              </w:rPr>
              <w:t>Hp</w:t>
            </w:r>
            <w:proofErr w:type="spellEnd"/>
            <w:r w:rsidRPr="007F4E37">
              <w:rPr>
                <w:rFonts w:cs="Arial"/>
                <w:sz w:val="18"/>
                <w:szCs w:val="18"/>
              </w:rPr>
              <w:t>(0,07) a jeho příkonu. Elektronické osobní dozimetry s</w:t>
            </w:r>
          </w:p>
          <w:p w14:paraId="372123B7" w14:textId="74D04760" w:rsidR="004B63A4" w:rsidRPr="007F4E37" w:rsidRDefault="004B63A4" w:rsidP="004B63A4">
            <w:pPr>
              <w:jc w:val="both"/>
              <w:rPr>
                <w:rFonts w:cs="Arial"/>
                <w:sz w:val="18"/>
                <w:szCs w:val="18"/>
              </w:rPr>
            </w:pPr>
            <w:r w:rsidRPr="007F4E37">
              <w:rPr>
                <w:rFonts w:cs="Arial"/>
                <w:sz w:val="18"/>
                <w:szCs w:val="18"/>
              </w:rPr>
              <w:t xml:space="preserve">možností měření, ukládání a zobrazení osobních dávek pracovníků vystavených působení ionizujícího záření. Umožňují signalizaci překročení nastavených prahů kumulovaných osobních dávkových ekvivalentů </w:t>
            </w:r>
            <w:proofErr w:type="spellStart"/>
            <w:r w:rsidRPr="007F4E37">
              <w:rPr>
                <w:rFonts w:cs="Arial"/>
                <w:sz w:val="18"/>
                <w:szCs w:val="18"/>
              </w:rPr>
              <w:t>Hp</w:t>
            </w:r>
            <w:proofErr w:type="spellEnd"/>
            <w:r w:rsidRPr="007F4E37">
              <w:rPr>
                <w:rFonts w:cs="Arial"/>
                <w:sz w:val="18"/>
                <w:szCs w:val="18"/>
              </w:rPr>
              <w:t xml:space="preserve">(10) a </w:t>
            </w:r>
            <w:proofErr w:type="spellStart"/>
            <w:r w:rsidRPr="007F4E37">
              <w:rPr>
                <w:rFonts w:cs="Arial"/>
                <w:sz w:val="18"/>
                <w:szCs w:val="18"/>
              </w:rPr>
              <w:t>Hp</w:t>
            </w:r>
            <w:proofErr w:type="spellEnd"/>
            <w:r w:rsidRPr="007F4E37">
              <w:rPr>
                <w:rFonts w:cs="Arial"/>
                <w:sz w:val="18"/>
                <w:szCs w:val="18"/>
              </w:rPr>
              <w:t>(0,07), jejich dávkových příkonů a časového intervalu.</w:t>
            </w:r>
            <w:r w:rsidR="007F4E37">
              <w:rPr>
                <w:rFonts w:cs="Arial"/>
                <w:sz w:val="18"/>
                <w:szCs w:val="18"/>
              </w:rPr>
              <w:t xml:space="preserve"> Počáteční metrologické ověření</w:t>
            </w:r>
          </w:p>
        </w:tc>
        <w:tc>
          <w:tcPr>
            <w:tcW w:w="1276" w:type="dxa"/>
            <w:vAlign w:val="center"/>
          </w:tcPr>
          <w:p w14:paraId="0D63FBD3" w14:textId="77777777" w:rsidR="007D4305" w:rsidRPr="008B44B2" w:rsidRDefault="007D4305" w:rsidP="007D4305">
            <w:pPr>
              <w:jc w:val="center"/>
              <w:rPr>
                <w:rFonts w:cs="Arial"/>
                <w:color w:val="FF0000"/>
                <w:szCs w:val="20"/>
              </w:rPr>
            </w:pPr>
            <w:r w:rsidRPr="008B44B2">
              <w:rPr>
                <w:rFonts w:cs="Arial"/>
                <w:color w:val="FF0000"/>
                <w:szCs w:val="20"/>
              </w:rPr>
              <w:t>(doplní dodavatel)</w:t>
            </w:r>
          </w:p>
        </w:tc>
        <w:tc>
          <w:tcPr>
            <w:tcW w:w="3821" w:type="dxa"/>
            <w:vAlign w:val="center"/>
          </w:tcPr>
          <w:p w14:paraId="4FC0870C" w14:textId="77777777" w:rsidR="007D4305" w:rsidRPr="008B44B2" w:rsidRDefault="007D4305" w:rsidP="007D4305">
            <w:pPr>
              <w:jc w:val="center"/>
              <w:rPr>
                <w:rFonts w:cs="Arial"/>
                <w:color w:val="FF0000"/>
                <w:szCs w:val="20"/>
              </w:rPr>
            </w:pPr>
            <w:r w:rsidRPr="008B44B2">
              <w:rPr>
                <w:rFonts w:cs="Arial"/>
                <w:color w:val="FF0000"/>
                <w:szCs w:val="20"/>
              </w:rPr>
              <w:t>(doplní dodavatel)</w:t>
            </w:r>
          </w:p>
        </w:tc>
      </w:tr>
      <w:tr w:rsidR="007D4305" w:rsidRPr="007F4E37" w14:paraId="0E64622B" w14:textId="77777777" w:rsidTr="00A36BA3">
        <w:tc>
          <w:tcPr>
            <w:tcW w:w="4536" w:type="dxa"/>
            <w:shd w:val="clear" w:color="auto" w:fill="auto"/>
          </w:tcPr>
          <w:p w14:paraId="11007161" w14:textId="77777777" w:rsidR="007D4305" w:rsidRPr="007F4E37" w:rsidRDefault="005E77A8" w:rsidP="005E77A8">
            <w:pPr>
              <w:jc w:val="both"/>
              <w:rPr>
                <w:rFonts w:cs="Arial"/>
                <w:sz w:val="18"/>
                <w:szCs w:val="18"/>
              </w:rPr>
            </w:pPr>
            <w:r w:rsidRPr="007F4E37">
              <w:rPr>
                <w:rFonts w:cs="Arial"/>
                <w:sz w:val="18"/>
                <w:szCs w:val="18"/>
              </w:rPr>
              <w:t>Lokální zobrazovací jednotka (unit) – 1 ks</w:t>
            </w:r>
          </w:p>
          <w:p w14:paraId="17A8FA26" w14:textId="2E660790" w:rsidR="005E77A8" w:rsidRPr="007F4E37" w:rsidRDefault="007F4E37" w:rsidP="00BD2C71">
            <w:pPr>
              <w:jc w:val="both"/>
              <w:rPr>
                <w:rFonts w:cs="Arial"/>
                <w:sz w:val="18"/>
                <w:szCs w:val="18"/>
              </w:rPr>
            </w:pPr>
            <w:r w:rsidRPr="00E01DCB">
              <w:rPr>
                <w:rFonts w:cs="Arial"/>
                <w:sz w:val="18"/>
                <w:szCs w:val="18"/>
              </w:rPr>
              <w:t>signalizuje aktuální situaci</w:t>
            </w:r>
            <w:r w:rsidR="00BD2C71">
              <w:rPr>
                <w:rFonts w:cs="Arial"/>
                <w:sz w:val="18"/>
                <w:szCs w:val="18"/>
              </w:rPr>
              <w:t xml:space="preserve"> ze sond prostředí</w:t>
            </w:r>
            <w:r w:rsidRPr="00E01DCB">
              <w:rPr>
                <w:rFonts w:cs="Arial"/>
                <w:sz w:val="18"/>
                <w:szCs w:val="18"/>
              </w:rPr>
              <w:t xml:space="preserve">, </w:t>
            </w:r>
            <w:r w:rsidR="00BD2C71">
              <w:rPr>
                <w:rFonts w:cs="Arial"/>
                <w:sz w:val="18"/>
                <w:szCs w:val="18"/>
              </w:rPr>
              <w:t xml:space="preserve">je vybavena zvukovou a světelnou signalizací překročení nastavených signalizačních úrovní, prezentace </w:t>
            </w:r>
            <w:r w:rsidRPr="00E01DCB">
              <w:rPr>
                <w:rFonts w:cs="Arial"/>
                <w:sz w:val="18"/>
                <w:szCs w:val="18"/>
              </w:rPr>
              <w:t>naměřených hodnot</w:t>
            </w:r>
            <w:r>
              <w:rPr>
                <w:rFonts w:cs="Arial"/>
                <w:sz w:val="18"/>
                <w:szCs w:val="18"/>
              </w:rPr>
              <w:t xml:space="preserve"> z monitorovacího systému</w:t>
            </w:r>
          </w:p>
        </w:tc>
        <w:tc>
          <w:tcPr>
            <w:tcW w:w="1276" w:type="dxa"/>
            <w:vAlign w:val="center"/>
          </w:tcPr>
          <w:p w14:paraId="48914943" w14:textId="77777777" w:rsidR="007D4305" w:rsidRPr="008B44B2" w:rsidRDefault="007D4305" w:rsidP="007D4305">
            <w:pPr>
              <w:jc w:val="center"/>
              <w:rPr>
                <w:rFonts w:cs="Arial"/>
                <w:color w:val="FF0000"/>
                <w:szCs w:val="20"/>
              </w:rPr>
            </w:pPr>
            <w:r w:rsidRPr="008B44B2">
              <w:rPr>
                <w:rFonts w:cs="Arial"/>
                <w:color w:val="FF0000"/>
                <w:szCs w:val="20"/>
              </w:rPr>
              <w:t>(doplní dodavatel)</w:t>
            </w:r>
          </w:p>
        </w:tc>
        <w:tc>
          <w:tcPr>
            <w:tcW w:w="3821" w:type="dxa"/>
            <w:vAlign w:val="center"/>
          </w:tcPr>
          <w:p w14:paraId="08B477CB" w14:textId="77777777" w:rsidR="007D4305" w:rsidRPr="008B44B2" w:rsidRDefault="007D4305" w:rsidP="007D4305">
            <w:pPr>
              <w:jc w:val="center"/>
              <w:rPr>
                <w:rFonts w:cs="Arial"/>
                <w:color w:val="FF0000"/>
                <w:szCs w:val="20"/>
              </w:rPr>
            </w:pPr>
            <w:r w:rsidRPr="008B44B2">
              <w:rPr>
                <w:rFonts w:cs="Arial"/>
                <w:color w:val="FF0000"/>
                <w:szCs w:val="20"/>
              </w:rPr>
              <w:t>(doplní dodavatel)</w:t>
            </w:r>
          </w:p>
        </w:tc>
      </w:tr>
      <w:tr w:rsidR="007D4305" w:rsidRPr="007F4E37" w14:paraId="3AC81359" w14:textId="77777777" w:rsidTr="00A36BA3">
        <w:tc>
          <w:tcPr>
            <w:tcW w:w="4536" w:type="dxa"/>
          </w:tcPr>
          <w:p w14:paraId="2C0246BF" w14:textId="77777777" w:rsidR="007D4305" w:rsidRPr="007F4E37" w:rsidRDefault="005E77A8" w:rsidP="005E77A8">
            <w:pPr>
              <w:jc w:val="both"/>
              <w:rPr>
                <w:rFonts w:cs="Arial"/>
                <w:sz w:val="18"/>
                <w:szCs w:val="18"/>
              </w:rPr>
            </w:pPr>
            <w:r w:rsidRPr="007F4E37">
              <w:rPr>
                <w:rFonts w:cs="Arial"/>
                <w:sz w:val="18"/>
                <w:szCs w:val="18"/>
              </w:rPr>
              <w:t>Software pro osobní dozimetrii – 1 ks</w:t>
            </w:r>
          </w:p>
          <w:p w14:paraId="3C16C0AC" w14:textId="1B3CEF6A" w:rsidR="005E77A8" w:rsidRPr="007F4E37" w:rsidRDefault="005E77A8" w:rsidP="00BD2C71">
            <w:pPr>
              <w:jc w:val="both"/>
              <w:rPr>
                <w:rFonts w:cs="Arial"/>
                <w:sz w:val="18"/>
                <w:szCs w:val="18"/>
              </w:rPr>
            </w:pPr>
            <w:r w:rsidRPr="007F4E37">
              <w:rPr>
                <w:rFonts w:cs="Arial"/>
                <w:sz w:val="18"/>
                <w:szCs w:val="18"/>
              </w:rPr>
              <w:t xml:space="preserve">Systém navržen jako univerzální tak, aby mohl komunikovat s jakýmkoliv typem elektronického osobního dozimetru libovolného výrobce. Modul řízení umožňuje pracovníkovi v KP provést tři základní procesy: Vstup do KP, Výstup z KP, Změnu pracovního pobytu v KP. Modul automatického přenosu dat - umožňující přenos dat mezi lokální databází na terminálu a centrální databází umístěnou na serveru systému. Systém automaticky pro každou osobu sumarizuje čerpání dávek </w:t>
            </w:r>
            <w:proofErr w:type="spellStart"/>
            <w:r w:rsidRPr="007F4E37">
              <w:rPr>
                <w:rFonts w:cs="Arial"/>
                <w:sz w:val="18"/>
                <w:szCs w:val="18"/>
              </w:rPr>
              <w:t>Hp</w:t>
            </w:r>
            <w:proofErr w:type="spellEnd"/>
            <w:r w:rsidRPr="007F4E37">
              <w:rPr>
                <w:rFonts w:cs="Arial"/>
                <w:sz w:val="18"/>
                <w:szCs w:val="18"/>
              </w:rPr>
              <w:t xml:space="preserve">(10), </w:t>
            </w:r>
            <w:proofErr w:type="spellStart"/>
            <w:r w:rsidRPr="007F4E37">
              <w:rPr>
                <w:rFonts w:cs="Arial"/>
                <w:sz w:val="18"/>
                <w:szCs w:val="18"/>
              </w:rPr>
              <w:t>Hp</w:t>
            </w:r>
            <w:proofErr w:type="spellEnd"/>
            <w:r w:rsidRPr="007F4E37">
              <w:rPr>
                <w:rFonts w:cs="Arial"/>
                <w:sz w:val="18"/>
                <w:szCs w:val="18"/>
              </w:rPr>
              <w:t xml:space="preserve">(0,07), </w:t>
            </w:r>
            <w:proofErr w:type="spellStart"/>
            <w:r w:rsidRPr="007F4E37">
              <w:rPr>
                <w:rFonts w:cs="Arial"/>
                <w:sz w:val="18"/>
                <w:szCs w:val="18"/>
              </w:rPr>
              <w:t>Hp</w:t>
            </w:r>
            <w:proofErr w:type="spellEnd"/>
            <w:r w:rsidRPr="007F4E37">
              <w:rPr>
                <w:rFonts w:cs="Arial"/>
                <w:sz w:val="18"/>
                <w:szCs w:val="18"/>
              </w:rPr>
              <w:t xml:space="preserve">(10) neutron pro období: den, měsíc, rok, 5 let. Systém umožňuje limitovat individuální čerpání dávek v souvislosti s legislativně určenými limity. Systém umožňuje </w:t>
            </w:r>
            <w:r w:rsidR="00BD2C71">
              <w:rPr>
                <w:rFonts w:cs="Arial"/>
                <w:sz w:val="18"/>
                <w:szCs w:val="18"/>
              </w:rPr>
              <w:t xml:space="preserve">automaticky (dávkově) </w:t>
            </w:r>
            <w:r w:rsidRPr="007F4E37">
              <w:rPr>
                <w:rFonts w:cs="Arial"/>
                <w:sz w:val="18"/>
                <w:szCs w:val="18"/>
              </w:rPr>
              <w:t>zavádět do systému čerpání dávek</w:t>
            </w:r>
            <w:r w:rsidR="00BD2C71">
              <w:rPr>
                <w:rFonts w:cs="Arial"/>
                <w:sz w:val="18"/>
                <w:szCs w:val="18"/>
              </w:rPr>
              <w:t xml:space="preserve"> </w:t>
            </w:r>
            <w:r w:rsidRPr="007F4E37">
              <w:rPr>
                <w:rFonts w:cs="Arial"/>
                <w:sz w:val="18"/>
                <w:szCs w:val="18"/>
              </w:rPr>
              <w:t xml:space="preserve">z legální dozimetrie. Systém s možností sledování pro každou osobu, resp. středisko čerpání celkových dávek, dávek na pracovní činnost, objekt, zařízení. Systém obsahuje základní tiskové výstupní sestavy obvyklé pro sledování čerpání dávek, </w:t>
            </w:r>
            <w:proofErr w:type="spellStart"/>
            <w:r w:rsidRPr="007F4E37">
              <w:rPr>
                <w:rFonts w:cs="Arial"/>
                <w:sz w:val="18"/>
                <w:szCs w:val="18"/>
              </w:rPr>
              <w:t>exportova</w:t>
            </w:r>
            <w:proofErr w:type="spellEnd"/>
            <w:r w:rsidRPr="007F4E37">
              <w:rPr>
                <w:rFonts w:cs="Arial"/>
                <w:sz w:val="18"/>
                <w:szCs w:val="18"/>
              </w:rPr>
              <w:t xml:space="preserve"> veškerých data systému (</w:t>
            </w:r>
            <w:proofErr w:type="spellStart"/>
            <w:r w:rsidRPr="007F4E37">
              <w:rPr>
                <w:rFonts w:cs="Arial"/>
                <w:sz w:val="18"/>
                <w:szCs w:val="18"/>
              </w:rPr>
              <w:t>csv</w:t>
            </w:r>
            <w:proofErr w:type="spellEnd"/>
            <w:r w:rsidRPr="007F4E37">
              <w:rPr>
                <w:rFonts w:cs="Arial"/>
                <w:sz w:val="18"/>
                <w:szCs w:val="18"/>
              </w:rPr>
              <w:t xml:space="preserve">, </w:t>
            </w:r>
            <w:proofErr w:type="spellStart"/>
            <w:r w:rsidRPr="007F4E37">
              <w:rPr>
                <w:rFonts w:cs="Arial"/>
                <w:sz w:val="18"/>
                <w:szCs w:val="18"/>
              </w:rPr>
              <w:t>xls</w:t>
            </w:r>
            <w:proofErr w:type="spellEnd"/>
            <w:r w:rsidRPr="007F4E37">
              <w:rPr>
                <w:rFonts w:cs="Arial"/>
                <w:sz w:val="18"/>
                <w:szCs w:val="18"/>
              </w:rPr>
              <w:t xml:space="preserve">, </w:t>
            </w:r>
            <w:proofErr w:type="spellStart"/>
            <w:r w:rsidRPr="007F4E37">
              <w:rPr>
                <w:rFonts w:cs="Arial"/>
                <w:sz w:val="18"/>
                <w:szCs w:val="18"/>
              </w:rPr>
              <w:t>dbf</w:t>
            </w:r>
            <w:proofErr w:type="spellEnd"/>
            <w:r w:rsidRPr="007F4E37">
              <w:rPr>
                <w:rFonts w:cs="Arial"/>
                <w:sz w:val="18"/>
                <w:szCs w:val="18"/>
              </w:rPr>
              <w:t>)</w:t>
            </w:r>
          </w:p>
        </w:tc>
        <w:tc>
          <w:tcPr>
            <w:tcW w:w="1276" w:type="dxa"/>
            <w:vAlign w:val="center"/>
          </w:tcPr>
          <w:p w14:paraId="4FEA510A" w14:textId="77777777" w:rsidR="007D4305" w:rsidRPr="008B44B2" w:rsidRDefault="007D4305" w:rsidP="007D4305">
            <w:pPr>
              <w:jc w:val="center"/>
              <w:rPr>
                <w:rFonts w:cs="Arial"/>
                <w:color w:val="FF0000"/>
                <w:szCs w:val="20"/>
              </w:rPr>
            </w:pPr>
            <w:r w:rsidRPr="008B44B2">
              <w:rPr>
                <w:rFonts w:cs="Arial"/>
                <w:color w:val="FF0000"/>
                <w:szCs w:val="20"/>
              </w:rPr>
              <w:t>(doplní dodavatel)</w:t>
            </w:r>
          </w:p>
        </w:tc>
        <w:tc>
          <w:tcPr>
            <w:tcW w:w="3821" w:type="dxa"/>
            <w:vAlign w:val="center"/>
          </w:tcPr>
          <w:p w14:paraId="6B33BC34" w14:textId="77777777" w:rsidR="007D4305" w:rsidRPr="008B44B2" w:rsidRDefault="007D4305" w:rsidP="007D4305">
            <w:pPr>
              <w:jc w:val="center"/>
              <w:rPr>
                <w:rFonts w:cs="Arial"/>
                <w:color w:val="FF0000"/>
                <w:szCs w:val="20"/>
              </w:rPr>
            </w:pPr>
            <w:r w:rsidRPr="008B44B2">
              <w:rPr>
                <w:rFonts w:cs="Arial"/>
                <w:color w:val="FF0000"/>
                <w:szCs w:val="20"/>
              </w:rPr>
              <w:t>(doplní dodavatel)</w:t>
            </w:r>
          </w:p>
        </w:tc>
      </w:tr>
      <w:tr w:rsidR="007D4305" w:rsidRPr="007F4E37" w14:paraId="05DC110C" w14:textId="77777777" w:rsidTr="00A36BA3">
        <w:tc>
          <w:tcPr>
            <w:tcW w:w="4536" w:type="dxa"/>
          </w:tcPr>
          <w:p w14:paraId="4F944EA0" w14:textId="77777777" w:rsidR="007D4305" w:rsidRDefault="00252E14" w:rsidP="00252E14">
            <w:pPr>
              <w:jc w:val="both"/>
              <w:rPr>
                <w:rFonts w:cs="Arial"/>
                <w:sz w:val="18"/>
                <w:szCs w:val="18"/>
              </w:rPr>
            </w:pPr>
            <w:r w:rsidRPr="007F4E37">
              <w:rPr>
                <w:rFonts w:cs="Arial"/>
                <w:sz w:val="18"/>
                <w:szCs w:val="18"/>
              </w:rPr>
              <w:t>radiační monitorovací systém včetně metrologie – 1 ks</w:t>
            </w:r>
          </w:p>
          <w:p w14:paraId="289B0BEF" w14:textId="07993595" w:rsidR="007F4E37" w:rsidRPr="007F4E37" w:rsidRDefault="007F4E37" w:rsidP="00252E14">
            <w:pPr>
              <w:jc w:val="both"/>
              <w:rPr>
                <w:rFonts w:cs="Arial"/>
                <w:sz w:val="18"/>
                <w:szCs w:val="18"/>
              </w:rPr>
            </w:pPr>
            <w:r>
              <w:rPr>
                <w:rFonts w:cs="Arial"/>
                <w:sz w:val="18"/>
                <w:szCs w:val="18"/>
              </w:rPr>
              <w:t xml:space="preserve">Umožňuje </w:t>
            </w:r>
            <w:r w:rsidRPr="00E01DCB">
              <w:rPr>
                <w:rFonts w:cs="Arial"/>
                <w:sz w:val="18"/>
                <w:szCs w:val="18"/>
              </w:rPr>
              <w:t>nastavení signalizačních úrovní</w:t>
            </w:r>
            <w:r>
              <w:rPr>
                <w:rFonts w:cs="Arial"/>
                <w:sz w:val="18"/>
                <w:szCs w:val="18"/>
              </w:rPr>
              <w:t>, grafické výstupy a tisk protokolů</w:t>
            </w:r>
          </w:p>
        </w:tc>
        <w:tc>
          <w:tcPr>
            <w:tcW w:w="1276" w:type="dxa"/>
            <w:vAlign w:val="center"/>
          </w:tcPr>
          <w:p w14:paraId="5F25980E" w14:textId="77777777" w:rsidR="007D4305" w:rsidRPr="008B44B2" w:rsidRDefault="007D4305" w:rsidP="007D4305">
            <w:pPr>
              <w:jc w:val="center"/>
              <w:rPr>
                <w:rFonts w:cs="Arial"/>
                <w:color w:val="FF0000"/>
                <w:szCs w:val="20"/>
              </w:rPr>
            </w:pPr>
            <w:r w:rsidRPr="008B44B2">
              <w:rPr>
                <w:rFonts w:cs="Arial"/>
                <w:color w:val="FF0000"/>
                <w:szCs w:val="20"/>
              </w:rPr>
              <w:t>(doplní dodavatel)</w:t>
            </w:r>
          </w:p>
        </w:tc>
        <w:tc>
          <w:tcPr>
            <w:tcW w:w="3821" w:type="dxa"/>
            <w:vAlign w:val="center"/>
          </w:tcPr>
          <w:p w14:paraId="40472ED2" w14:textId="77777777" w:rsidR="007D4305" w:rsidRPr="008B44B2" w:rsidRDefault="007D4305" w:rsidP="007D4305">
            <w:pPr>
              <w:jc w:val="center"/>
              <w:rPr>
                <w:rFonts w:cs="Arial"/>
                <w:color w:val="FF0000"/>
                <w:szCs w:val="20"/>
              </w:rPr>
            </w:pPr>
            <w:r w:rsidRPr="008B44B2">
              <w:rPr>
                <w:rFonts w:cs="Arial"/>
                <w:color w:val="FF0000"/>
                <w:szCs w:val="20"/>
              </w:rPr>
              <w:t>(doplní dodavatel)</w:t>
            </w:r>
          </w:p>
        </w:tc>
      </w:tr>
      <w:tr w:rsidR="007D4305" w:rsidRPr="007F4E37" w14:paraId="31A0558D" w14:textId="77777777" w:rsidTr="00A36BA3">
        <w:tc>
          <w:tcPr>
            <w:tcW w:w="4536" w:type="dxa"/>
          </w:tcPr>
          <w:p w14:paraId="6686BC45" w14:textId="0BB96FA8" w:rsidR="007D4305" w:rsidRPr="007F4E37" w:rsidRDefault="00E70F5C" w:rsidP="00BD2C71">
            <w:pPr>
              <w:jc w:val="both"/>
              <w:rPr>
                <w:rFonts w:cs="Arial"/>
                <w:sz w:val="18"/>
                <w:szCs w:val="18"/>
              </w:rPr>
            </w:pPr>
            <w:r w:rsidRPr="007F4E37">
              <w:rPr>
                <w:rFonts w:cs="Arial"/>
                <w:sz w:val="18"/>
                <w:szCs w:val="18"/>
              </w:rPr>
              <w:t xml:space="preserve">Monitor povrchové kontaminace (ruce, nohy) – 1 ks Přístroj musí umožňovat měření plošné kontaminace radionuklidy emitujícími záření beta/gama, přičemž se předpokládá optimalizována citlivost detektoru pro záření gama. Koncepce přístroje se </w:t>
            </w:r>
            <w:r w:rsidR="00BD2C71">
              <w:rPr>
                <w:rFonts w:cs="Arial"/>
                <w:sz w:val="18"/>
                <w:szCs w:val="18"/>
              </w:rPr>
              <w:t>požaduje</w:t>
            </w:r>
            <w:r w:rsidR="00BD2C71" w:rsidRPr="007F4E37">
              <w:rPr>
                <w:rFonts w:cs="Arial"/>
                <w:sz w:val="18"/>
                <w:szCs w:val="18"/>
              </w:rPr>
              <w:t xml:space="preserve"> </w:t>
            </w:r>
            <w:r w:rsidRPr="007F4E37">
              <w:rPr>
                <w:rFonts w:cs="Arial"/>
                <w:sz w:val="18"/>
                <w:szCs w:val="18"/>
              </w:rPr>
              <w:t xml:space="preserve">v provedení 4 detektorů na ruce a dvou detektorů na nohy, umožňujícím jeho použití na oddělení NM. Zobrazování naměřených hodnot, tak aby bylo jasně definované, jaké části těla se kontaminace </w:t>
            </w:r>
            <w:r w:rsidRPr="007F4E37">
              <w:rPr>
                <w:rFonts w:cs="Arial"/>
                <w:sz w:val="18"/>
                <w:szCs w:val="18"/>
              </w:rPr>
              <w:lastRenderedPageBreak/>
              <w:t xml:space="preserve">týká.  Detektory bez nutnosti použití plynu. Možnost sedmý či pátý detektor – přídavná sonda pro detekci kontaminace oblečení. </w:t>
            </w:r>
            <w:r w:rsidR="007F4E37" w:rsidRPr="007F4E37">
              <w:rPr>
                <w:rFonts w:cs="Arial"/>
                <w:sz w:val="18"/>
                <w:szCs w:val="18"/>
              </w:rPr>
              <w:t xml:space="preserve">Energetický rozsah od 200 </w:t>
            </w:r>
            <w:proofErr w:type="spellStart"/>
            <w:r w:rsidR="007F4E37" w:rsidRPr="007F4E37">
              <w:rPr>
                <w:rFonts w:cs="Arial"/>
                <w:sz w:val="18"/>
                <w:szCs w:val="18"/>
              </w:rPr>
              <w:t>keV</w:t>
            </w:r>
            <w:proofErr w:type="spellEnd"/>
            <w:r w:rsidR="007F4E37" w:rsidRPr="007F4E37">
              <w:rPr>
                <w:rFonts w:cs="Arial"/>
                <w:sz w:val="18"/>
                <w:szCs w:val="18"/>
              </w:rPr>
              <w:t xml:space="preserve"> do 2,5MeV Zobrazování naměřených hodnot v jednotkách </w:t>
            </w:r>
            <w:proofErr w:type="spellStart"/>
            <w:r w:rsidR="007F4E37" w:rsidRPr="007F4E37">
              <w:rPr>
                <w:rFonts w:cs="Arial"/>
                <w:sz w:val="18"/>
                <w:szCs w:val="18"/>
              </w:rPr>
              <w:t>cps</w:t>
            </w:r>
            <w:proofErr w:type="spellEnd"/>
            <w:r w:rsidR="007F4E37" w:rsidRPr="007F4E37">
              <w:rPr>
                <w:rFonts w:cs="Arial"/>
                <w:sz w:val="18"/>
                <w:szCs w:val="18"/>
              </w:rPr>
              <w:t xml:space="preserve">, </w:t>
            </w:r>
            <w:proofErr w:type="spellStart"/>
            <w:r w:rsidR="007F4E37" w:rsidRPr="007F4E37">
              <w:rPr>
                <w:rFonts w:cs="Arial"/>
                <w:sz w:val="18"/>
                <w:szCs w:val="18"/>
              </w:rPr>
              <w:t>Bq</w:t>
            </w:r>
            <w:proofErr w:type="spellEnd"/>
            <w:r w:rsidR="007F4E37" w:rsidRPr="007F4E37">
              <w:rPr>
                <w:rFonts w:cs="Arial"/>
                <w:sz w:val="18"/>
                <w:szCs w:val="18"/>
              </w:rPr>
              <w:t xml:space="preserve"> či </w:t>
            </w:r>
            <w:proofErr w:type="spellStart"/>
            <w:r w:rsidR="007F4E37" w:rsidRPr="007F4E37">
              <w:rPr>
                <w:rFonts w:cs="Arial"/>
                <w:sz w:val="18"/>
                <w:szCs w:val="18"/>
              </w:rPr>
              <w:t>Bq</w:t>
            </w:r>
            <w:proofErr w:type="spellEnd"/>
            <w:r w:rsidR="007F4E37" w:rsidRPr="007F4E37">
              <w:rPr>
                <w:rFonts w:cs="Arial"/>
                <w:sz w:val="18"/>
                <w:szCs w:val="18"/>
              </w:rPr>
              <w:t xml:space="preserve">/cm2 na vestavěném dotykovém displeji. Typově schválený přístroj pro používání v ČR </w:t>
            </w:r>
            <w:r w:rsidR="00273DB9">
              <w:rPr>
                <w:rFonts w:cs="Arial"/>
                <w:sz w:val="18"/>
                <w:szCs w:val="18"/>
              </w:rPr>
              <w:t>–</w:t>
            </w:r>
            <w:r w:rsidR="007F4E37" w:rsidRPr="007F4E37">
              <w:rPr>
                <w:rFonts w:cs="Arial"/>
                <w:sz w:val="18"/>
                <w:szCs w:val="18"/>
              </w:rPr>
              <w:t xml:space="preserve"> </w:t>
            </w:r>
            <w:r w:rsidR="00273DB9">
              <w:rPr>
                <w:rFonts w:cs="Arial"/>
                <w:sz w:val="18"/>
                <w:szCs w:val="18"/>
              </w:rPr>
              <w:t xml:space="preserve">Počáteční </w:t>
            </w:r>
            <w:r w:rsidR="007F4E37" w:rsidRPr="007F4E37">
              <w:rPr>
                <w:rFonts w:cs="Arial"/>
                <w:sz w:val="18"/>
                <w:szCs w:val="18"/>
              </w:rPr>
              <w:t>metrologick</w:t>
            </w:r>
            <w:r w:rsidR="00273DB9">
              <w:rPr>
                <w:rFonts w:cs="Arial"/>
                <w:sz w:val="18"/>
                <w:szCs w:val="18"/>
              </w:rPr>
              <w:t>é</w:t>
            </w:r>
            <w:r w:rsidR="007F4E37" w:rsidRPr="007F4E37">
              <w:rPr>
                <w:rFonts w:cs="Arial"/>
                <w:sz w:val="18"/>
                <w:szCs w:val="18"/>
              </w:rPr>
              <w:t xml:space="preserve"> ověřen</w:t>
            </w:r>
            <w:r w:rsidR="00273DB9">
              <w:rPr>
                <w:rFonts w:cs="Arial"/>
                <w:sz w:val="18"/>
                <w:szCs w:val="18"/>
              </w:rPr>
              <w:t>í</w:t>
            </w:r>
            <w:r w:rsidR="007F4E37" w:rsidRPr="007F4E37">
              <w:rPr>
                <w:rFonts w:cs="Arial"/>
                <w:sz w:val="18"/>
                <w:szCs w:val="18"/>
              </w:rPr>
              <w:t xml:space="preserve"> v souladu s metrologickým zákonem na Cl-36.</w:t>
            </w:r>
          </w:p>
        </w:tc>
        <w:tc>
          <w:tcPr>
            <w:tcW w:w="1276" w:type="dxa"/>
            <w:vAlign w:val="center"/>
          </w:tcPr>
          <w:p w14:paraId="59F184C6" w14:textId="77777777" w:rsidR="007D4305" w:rsidRPr="008B44B2" w:rsidRDefault="007D4305" w:rsidP="007D4305">
            <w:pPr>
              <w:jc w:val="center"/>
              <w:rPr>
                <w:rFonts w:cs="Arial"/>
                <w:color w:val="FF0000"/>
                <w:szCs w:val="20"/>
              </w:rPr>
            </w:pPr>
            <w:r w:rsidRPr="008B44B2">
              <w:rPr>
                <w:rFonts w:cs="Arial"/>
                <w:color w:val="FF0000"/>
                <w:szCs w:val="20"/>
              </w:rPr>
              <w:lastRenderedPageBreak/>
              <w:t>(doplní dodavatel)</w:t>
            </w:r>
          </w:p>
        </w:tc>
        <w:tc>
          <w:tcPr>
            <w:tcW w:w="3821" w:type="dxa"/>
            <w:vAlign w:val="center"/>
          </w:tcPr>
          <w:p w14:paraId="217F7460" w14:textId="77777777" w:rsidR="007D4305" w:rsidRPr="008B44B2" w:rsidRDefault="007D4305" w:rsidP="007D4305">
            <w:pPr>
              <w:jc w:val="center"/>
              <w:rPr>
                <w:rFonts w:cs="Arial"/>
                <w:color w:val="FF0000"/>
                <w:szCs w:val="20"/>
              </w:rPr>
            </w:pPr>
            <w:r w:rsidRPr="008B44B2">
              <w:rPr>
                <w:rFonts w:cs="Arial"/>
                <w:color w:val="FF0000"/>
                <w:szCs w:val="20"/>
              </w:rPr>
              <w:t>(doplní dodavatel)</w:t>
            </w:r>
          </w:p>
        </w:tc>
      </w:tr>
      <w:tr w:rsidR="007D4305" w:rsidRPr="007F4E37" w14:paraId="69EF8B1E" w14:textId="77777777" w:rsidTr="00A36BA3">
        <w:tc>
          <w:tcPr>
            <w:tcW w:w="4536" w:type="dxa"/>
          </w:tcPr>
          <w:p w14:paraId="0071DC48" w14:textId="77777777" w:rsidR="007D4305" w:rsidRPr="007F4E37" w:rsidRDefault="00B83104" w:rsidP="00B83104">
            <w:pPr>
              <w:jc w:val="both"/>
              <w:rPr>
                <w:rFonts w:cs="Arial"/>
                <w:sz w:val="18"/>
                <w:szCs w:val="18"/>
              </w:rPr>
            </w:pPr>
            <w:r w:rsidRPr="007F4E37">
              <w:rPr>
                <w:rFonts w:cs="Arial"/>
                <w:sz w:val="18"/>
                <w:szCs w:val="18"/>
              </w:rPr>
              <w:t>monitorovací systém prostředí – sonda – 8 ks</w:t>
            </w:r>
          </w:p>
          <w:p w14:paraId="46057CAE" w14:textId="0368D702" w:rsidR="00B83104" w:rsidRPr="007F4E37" w:rsidRDefault="00B83104" w:rsidP="00B83104">
            <w:pPr>
              <w:jc w:val="both"/>
              <w:rPr>
                <w:rFonts w:cs="Arial"/>
                <w:sz w:val="18"/>
                <w:szCs w:val="18"/>
              </w:rPr>
            </w:pPr>
            <w:r w:rsidRPr="007F4E37">
              <w:rPr>
                <w:rFonts w:cs="Arial"/>
                <w:sz w:val="18"/>
                <w:szCs w:val="18"/>
              </w:rPr>
              <w:t xml:space="preserve">určen pro měření příkonu prostorového dávkového ekvivalentu záření gama až do hodnot 100 </w:t>
            </w:r>
            <w:proofErr w:type="spellStart"/>
            <w:r w:rsidRPr="007F4E37">
              <w:rPr>
                <w:rFonts w:cs="Arial"/>
                <w:sz w:val="18"/>
                <w:szCs w:val="18"/>
              </w:rPr>
              <w:t>mSv</w:t>
            </w:r>
            <w:proofErr w:type="spellEnd"/>
            <w:r w:rsidRPr="007F4E37">
              <w:rPr>
                <w:rFonts w:cs="Arial"/>
                <w:sz w:val="18"/>
                <w:szCs w:val="18"/>
              </w:rPr>
              <w:t>/h. Jednotlivé sondy lze použít jako součást většího monitorovacího systému s centralizovanou vzdálenou signalizací, popřípadě jako autonomní monitor, který zobrazuje data lokálně v místě měření</w:t>
            </w:r>
            <w:r w:rsidR="00BD2C71">
              <w:rPr>
                <w:rFonts w:cs="Arial"/>
                <w:sz w:val="18"/>
                <w:szCs w:val="18"/>
              </w:rPr>
              <w:t xml:space="preserve"> a zvukově signalizuje převýšení nastavených úrovní</w:t>
            </w:r>
            <w:r w:rsidRPr="007F4E37">
              <w:rPr>
                <w:rFonts w:cs="Arial"/>
                <w:sz w:val="18"/>
                <w:szCs w:val="18"/>
              </w:rPr>
              <w:t>. Typově schválené, použití v budovách i ve venkovním prostředí, integrovaný podsvícený displej, možnost přímého připojení signalizační jednotky a přímého připojení k nadřízenému systému.</w:t>
            </w:r>
          </w:p>
          <w:p w14:paraId="5B8D02F0" w14:textId="77777777" w:rsidR="00B83104" w:rsidRPr="007F4E37" w:rsidRDefault="00B83104" w:rsidP="00B83104">
            <w:pPr>
              <w:jc w:val="both"/>
              <w:rPr>
                <w:rFonts w:cs="Arial"/>
                <w:sz w:val="18"/>
                <w:szCs w:val="18"/>
              </w:rPr>
            </w:pPr>
            <w:r w:rsidRPr="007F4E37">
              <w:rPr>
                <w:rFonts w:cs="Arial"/>
                <w:sz w:val="18"/>
                <w:szCs w:val="18"/>
              </w:rPr>
              <w:t>8 ks monitorovacích míst (detekčních sond)</w:t>
            </w:r>
          </w:p>
          <w:p w14:paraId="4BB6A853" w14:textId="77777777" w:rsidR="00B83104" w:rsidRPr="007F4E37" w:rsidRDefault="00B83104" w:rsidP="00B83104">
            <w:pPr>
              <w:jc w:val="both"/>
              <w:rPr>
                <w:rFonts w:cs="Arial"/>
                <w:sz w:val="18"/>
                <w:szCs w:val="18"/>
              </w:rPr>
            </w:pPr>
            <w:r w:rsidRPr="007F4E37">
              <w:rPr>
                <w:rFonts w:cs="Arial"/>
                <w:sz w:val="18"/>
                <w:szCs w:val="18"/>
              </w:rPr>
              <w:t>Technická data sond:</w:t>
            </w:r>
          </w:p>
          <w:p w14:paraId="39644AA6" w14:textId="77777777" w:rsidR="00B83104" w:rsidRPr="007F4E37" w:rsidRDefault="00B83104" w:rsidP="00B83104">
            <w:pPr>
              <w:jc w:val="both"/>
              <w:rPr>
                <w:rFonts w:cs="Arial"/>
                <w:sz w:val="18"/>
                <w:szCs w:val="18"/>
              </w:rPr>
            </w:pPr>
            <w:r w:rsidRPr="007F4E37">
              <w:rPr>
                <w:rFonts w:cs="Arial"/>
                <w:sz w:val="18"/>
                <w:szCs w:val="18"/>
              </w:rPr>
              <w:t xml:space="preserve">Rozsah měření:  1E-7 až 1E-1 Sv/h </w:t>
            </w:r>
          </w:p>
          <w:p w14:paraId="57909B9E" w14:textId="77777777" w:rsidR="00B83104" w:rsidRPr="007F4E37" w:rsidRDefault="00B83104" w:rsidP="00B83104">
            <w:pPr>
              <w:jc w:val="both"/>
              <w:rPr>
                <w:rFonts w:cs="Arial"/>
                <w:sz w:val="18"/>
                <w:szCs w:val="18"/>
              </w:rPr>
            </w:pPr>
            <w:r w:rsidRPr="007F4E37">
              <w:rPr>
                <w:rFonts w:cs="Arial"/>
                <w:sz w:val="18"/>
                <w:szCs w:val="18"/>
              </w:rPr>
              <w:t xml:space="preserve">Efektivní rozsah měření:  5E-6 až 1E-1 Sv/h </w:t>
            </w:r>
          </w:p>
          <w:p w14:paraId="61AEEA04" w14:textId="1C5C3F99" w:rsidR="00B83104" w:rsidRPr="007F4E37" w:rsidRDefault="00B83104" w:rsidP="00B83104">
            <w:pPr>
              <w:jc w:val="both"/>
              <w:rPr>
                <w:rFonts w:cs="Arial"/>
                <w:sz w:val="18"/>
                <w:szCs w:val="18"/>
              </w:rPr>
            </w:pPr>
            <w:r w:rsidRPr="007F4E37">
              <w:rPr>
                <w:rFonts w:cs="Arial"/>
                <w:sz w:val="18"/>
                <w:szCs w:val="18"/>
              </w:rPr>
              <w:t xml:space="preserve">Energetický rozsah:  50 </w:t>
            </w:r>
            <w:proofErr w:type="spellStart"/>
            <w:r w:rsidRPr="007F4E37">
              <w:rPr>
                <w:rFonts w:cs="Arial"/>
                <w:sz w:val="18"/>
                <w:szCs w:val="18"/>
              </w:rPr>
              <w:t>keV</w:t>
            </w:r>
            <w:proofErr w:type="spellEnd"/>
            <w:r w:rsidRPr="007F4E37">
              <w:rPr>
                <w:rFonts w:cs="Arial"/>
                <w:sz w:val="18"/>
                <w:szCs w:val="18"/>
              </w:rPr>
              <w:t xml:space="preserve"> až </w:t>
            </w:r>
            <w:r w:rsidR="007F4E37">
              <w:rPr>
                <w:rFonts w:cs="Arial"/>
                <w:sz w:val="18"/>
                <w:szCs w:val="18"/>
              </w:rPr>
              <w:t>1,5</w:t>
            </w:r>
            <w:r w:rsidRPr="007F4E37">
              <w:rPr>
                <w:rFonts w:cs="Arial"/>
                <w:sz w:val="18"/>
                <w:szCs w:val="18"/>
              </w:rPr>
              <w:t xml:space="preserve"> </w:t>
            </w:r>
            <w:proofErr w:type="spellStart"/>
            <w:r w:rsidRPr="007F4E37">
              <w:rPr>
                <w:rFonts w:cs="Arial"/>
                <w:sz w:val="18"/>
                <w:szCs w:val="18"/>
              </w:rPr>
              <w:t>MeV</w:t>
            </w:r>
            <w:proofErr w:type="spellEnd"/>
          </w:p>
          <w:p w14:paraId="21B2A183" w14:textId="77777777" w:rsidR="00B83104" w:rsidRDefault="00B83104" w:rsidP="00B83104">
            <w:pPr>
              <w:jc w:val="both"/>
              <w:rPr>
                <w:rFonts w:cs="Arial"/>
                <w:sz w:val="18"/>
                <w:szCs w:val="18"/>
              </w:rPr>
            </w:pPr>
            <w:r w:rsidRPr="007F4E37">
              <w:rPr>
                <w:rFonts w:cs="Arial"/>
                <w:sz w:val="18"/>
                <w:szCs w:val="18"/>
              </w:rPr>
              <w:t xml:space="preserve">Efektivní energetický rozsah:  80 </w:t>
            </w:r>
            <w:proofErr w:type="spellStart"/>
            <w:r w:rsidRPr="007F4E37">
              <w:rPr>
                <w:rFonts w:cs="Arial"/>
                <w:sz w:val="18"/>
                <w:szCs w:val="18"/>
              </w:rPr>
              <w:t>keV</w:t>
            </w:r>
            <w:proofErr w:type="spellEnd"/>
            <w:r w:rsidRPr="007F4E37">
              <w:rPr>
                <w:rFonts w:cs="Arial"/>
                <w:sz w:val="18"/>
                <w:szCs w:val="18"/>
              </w:rPr>
              <w:t xml:space="preserve"> až 1,5 </w:t>
            </w:r>
            <w:proofErr w:type="spellStart"/>
            <w:r w:rsidRPr="007F4E37">
              <w:rPr>
                <w:rFonts w:cs="Arial"/>
                <w:sz w:val="18"/>
                <w:szCs w:val="18"/>
              </w:rPr>
              <w:t>MeV</w:t>
            </w:r>
            <w:proofErr w:type="spellEnd"/>
          </w:p>
          <w:p w14:paraId="6EFED16B" w14:textId="5B40A4DA" w:rsidR="007F4E37" w:rsidRPr="007F4E37" w:rsidRDefault="00273DB9" w:rsidP="00B83104">
            <w:pPr>
              <w:jc w:val="both"/>
              <w:rPr>
                <w:rFonts w:cs="Arial"/>
                <w:sz w:val="18"/>
                <w:szCs w:val="18"/>
              </w:rPr>
            </w:pPr>
            <w:r>
              <w:rPr>
                <w:rFonts w:cs="Arial"/>
                <w:sz w:val="18"/>
                <w:szCs w:val="18"/>
              </w:rPr>
              <w:t>Počáteční</w:t>
            </w:r>
            <w:r w:rsidR="007F4E37">
              <w:rPr>
                <w:rFonts w:cs="Arial"/>
                <w:sz w:val="18"/>
                <w:szCs w:val="18"/>
              </w:rPr>
              <w:t xml:space="preserve"> metrologické ověření.</w:t>
            </w:r>
          </w:p>
        </w:tc>
        <w:tc>
          <w:tcPr>
            <w:tcW w:w="1276" w:type="dxa"/>
            <w:vAlign w:val="center"/>
          </w:tcPr>
          <w:p w14:paraId="40B4F5D9" w14:textId="77777777" w:rsidR="007D4305" w:rsidRPr="008B44B2" w:rsidRDefault="007D4305" w:rsidP="007D4305">
            <w:pPr>
              <w:jc w:val="center"/>
              <w:rPr>
                <w:rFonts w:cs="Arial"/>
                <w:color w:val="FF0000"/>
                <w:szCs w:val="20"/>
              </w:rPr>
            </w:pPr>
            <w:r w:rsidRPr="008B44B2">
              <w:rPr>
                <w:rFonts w:cs="Arial"/>
                <w:color w:val="FF0000"/>
                <w:szCs w:val="20"/>
              </w:rPr>
              <w:t>(doplní dodavatel)</w:t>
            </w:r>
          </w:p>
        </w:tc>
        <w:tc>
          <w:tcPr>
            <w:tcW w:w="3821" w:type="dxa"/>
            <w:vAlign w:val="center"/>
          </w:tcPr>
          <w:p w14:paraId="794868F6" w14:textId="77777777" w:rsidR="007D4305" w:rsidRPr="008B44B2" w:rsidRDefault="007D4305" w:rsidP="007D4305">
            <w:pPr>
              <w:jc w:val="center"/>
              <w:rPr>
                <w:rFonts w:cs="Arial"/>
                <w:color w:val="FF0000"/>
                <w:szCs w:val="20"/>
              </w:rPr>
            </w:pPr>
            <w:r w:rsidRPr="008B44B2">
              <w:rPr>
                <w:rFonts w:cs="Arial"/>
                <w:color w:val="FF0000"/>
                <w:szCs w:val="20"/>
              </w:rPr>
              <w:t>(doplní dodavatel)</w:t>
            </w:r>
          </w:p>
        </w:tc>
      </w:tr>
    </w:tbl>
    <w:p w14:paraId="67220695" w14:textId="77777777" w:rsidR="00D370BE" w:rsidRPr="008B44B2" w:rsidRDefault="00D370BE" w:rsidP="002A27EE">
      <w:pPr>
        <w:rPr>
          <w:rFonts w:cs="Arial"/>
          <w:lang w:eastAsia="en-US"/>
        </w:rPr>
      </w:pPr>
    </w:p>
    <w:p w14:paraId="47244D35" w14:textId="10E15BF9" w:rsidR="00D7314B" w:rsidRDefault="00D7314B" w:rsidP="002A27EE">
      <w:pPr>
        <w:rPr>
          <w:rFonts w:cs="Arial"/>
          <w:lang w:eastAsia="en-US"/>
        </w:rPr>
      </w:pPr>
    </w:p>
    <w:p w14:paraId="7BD91E72" w14:textId="77777777" w:rsidR="00AA5638" w:rsidRDefault="00AA5638" w:rsidP="00AA5638">
      <w:pPr>
        <w:pStyle w:val="Nadpis5"/>
        <w:rPr>
          <w:bCs/>
          <w:lang w:eastAsia="en-US"/>
        </w:rPr>
      </w:pPr>
      <w:r>
        <w:rPr>
          <w:bCs/>
          <w:lang w:eastAsia="en-US"/>
        </w:rPr>
        <w:t xml:space="preserve">B) Požadavky, které budou součástí dodávky předmětu plnění </w:t>
      </w:r>
    </w:p>
    <w:p w14:paraId="5372067B" w14:textId="77777777" w:rsidR="00AA5638" w:rsidRDefault="00AA5638" w:rsidP="00AA5638">
      <w:pPr>
        <w:rPr>
          <w:lang w:eastAsia="en-US"/>
        </w:rPr>
      </w:pPr>
    </w:p>
    <w:p w14:paraId="309226B7" w14:textId="586F7B51" w:rsidR="00AA5638" w:rsidRDefault="00AA5638" w:rsidP="00AA5638">
      <w:pPr>
        <w:rPr>
          <w:rFonts w:cs="Arial"/>
          <w:lang w:eastAsia="en-US"/>
        </w:rPr>
      </w:pPr>
      <w:r>
        <w:rPr>
          <w:lang w:eastAsia="en-US"/>
        </w:rPr>
        <w:t>DODAVATEL MÁ POVINNOST VYPLNIT SPLNĚNÍ POŽADAVKU V TABULCE ANO/NE. SPNĚNÍ UVEDENÝCH POŽADAVKŮ POŽADUJE ZADAVATEL V RÁMCI DODÁVKY PŘEDMĚTU PLNĚNÍ.</w:t>
      </w:r>
    </w:p>
    <w:p w14:paraId="546E10A9" w14:textId="77777777" w:rsidR="00AA5638" w:rsidRPr="008B44B2" w:rsidRDefault="00AA5638" w:rsidP="002A27EE">
      <w:pPr>
        <w:rPr>
          <w:rFonts w:cs="Arial"/>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7F4E37" w14:paraId="7C96A110" w14:textId="77777777" w:rsidTr="0065447C">
        <w:trPr>
          <w:tblHeader/>
          <w:jc w:val="center"/>
        </w:trPr>
        <w:tc>
          <w:tcPr>
            <w:tcW w:w="7797" w:type="dxa"/>
            <w:shd w:val="clear" w:color="auto" w:fill="F7CAAC" w:themeFill="accent2" w:themeFillTint="66"/>
          </w:tcPr>
          <w:p w14:paraId="56B2BE8C" w14:textId="77777777" w:rsidR="0065447C" w:rsidRPr="008B44B2" w:rsidRDefault="0065447C" w:rsidP="0065447C">
            <w:pPr>
              <w:pStyle w:val="Nadpis6"/>
              <w:suppressAutoHyphens w:val="0"/>
              <w:autoSpaceDE w:val="0"/>
              <w:autoSpaceDN w:val="0"/>
              <w:adjustRightInd w:val="0"/>
              <w:jc w:val="center"/>
              <w:outlineLvl w:val="5"/>
              <w:rPr>
                <w:rFonts w:ascii="Arial" w:eastAsia="Times New Roman" w:hAnsi="Arial" w:cs="Arial"/>
                <w:lang w:eastAsia="cs-CZ"/>
              </w:rPr>
            </w:pPr>
          </w:p>
          <w:p w14:paraId="2244E7F6" w14:textId="1B1E24B5" w:rsidR="0065447C" w:rsidRPr="008B44B2" w:rsidRDefault="0065447C" w:rsidP="0065447C">
            <w:pPr>
              <w:pStyle w:val="Nadpis6"/>
              <w:suppressAutoHyphens w:val="0"/>
              <w:autoSpaceDE w:val="0"/>
              <w:autoSpaceDN w:val="0"/>
              <w:adjustRightInd w:val="0"/>
              <w:jc w:val="center"/>
              <w:outlineLvl w:val="5"/>
              <w:rPr>
                <w:rFonts w:ascii="Arial" w:eastAsia="Times New Roman" w:hAnsi="Arial" w:cs="Arial"/>
                <w:lang w:eastAsia="cs-CZ"/>
              </w:rPr>
            </w:pPr>
            <w:r w:rsidRPr="008B44B2">
              <w:rPr>
                <w:rFonts w:ascii="Arial" w:eastAsia="Times New Roman" w:hAnsi="Arial" w:cs="Arial"/>
                <w:lang w:eastAsia="cs-CZ"/>
              </w:rPr>
              <w:t>Další podmínky a požadavky</w:t>
            </w:r>
            <w:r w:rsidR="00F041D0">
              <w:rPr>
                <w:rFonts w:ascii="Arial" w:eastAsia="Times New Roman" w:hAnsi="Arial" w:cs="Arial"/>
                <w:lang w:eastAsia="cs-CZ"/>
              </w:rPr>
              <w:t xml:space="preserve">, které budou součástí dodávky </w:t>
            </w:r>
          </w:p>
        </w:tc>
        <w:tc>
          <w:tcPr>
            <w:tcW w:w="1842" w:type="dxa"/>
            <w:shd w:val="clear" w:color="auto" w:fill="F7CAAC" w:themeFill="accent2" w:themeFillTint="66"/>
          </w:tcPr>
          <w:p w14:paraId="48839FCF" w14:textId="77777777" w:rsidR="0065447C" w:rsidRPr="008B44B2" w:rsidRDefault="0065447C" w:rsidP="00393D63">
            <w:pPr>
              <w:autoSpaceDE w:val="0"/>
              <w:autoSpaceDN w:val="0"/>
              <w:adjustRightInd w:val="0"/>
              <w:jc w:val="center"/>
              <w:rPr>
                <w:rFonts w:cs="Arial"/>
                <w:b/>
                <w:sz w:val="22"/>
                <w:szCs w:val="22"/>
              </w:rPr>
            </w:pPr>
            <w:r w:rsidRPr="008B44B2">
              <w:rPr>
                <w:rFonts w:cs="Arial"/>
                <w:b/>
                <w:sz w:val="22"/>
                <w:szCs w:val="22"/>
              </w:rPr>
              <w:t>Splnění požadavku ANO/NE</w:t>
            </w:r>
          </w:p>
        </w:tc>
      </w:tr>
      <w:tr w:rsidR="0065447C" w:rsidRPr="007F4E37" w14:paraId="4F170308" w14:textId="77777777" w:rsidTr="0065447C">
        <w:trPr>
          <w:jc w:val="center"/>
        </w:trPr>
        <w:tc>
          <w:tcPr>
            <w:tcW w:w="7797" w:type="dxa"/>
            <w:vAlign w:val="center"/>
          </w:tcPr>
          <w:p w14:paraId="39ADCCFD" w14:textId="77777777" w:rsidR="0065447C" w:rsidRPr="008B44B2" w:rsidRDefault="0065447C" w:rsidP="000C4921">
            <w:pPr>
              <w:autoSpaceDE w:val="0"/>
              <w:autoSpaceDN w:val="0"/>
              <w:adjustRightInd w:val="0"/>
              <w:rPr>
                <w:rFonts w:cs="Arial"/>
                <w:b/>
                <w:bCs/>
                <w:sz w:val="22"/>
                <w:szCs w:val="22"/>
              </w:rPr>
            </w:pPr>
            <w:r w:rsidRPr="008B44B2">
              <w:rPr>
                <w:rFonts w:cs="Arial"/>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B9DC838" w14:textId="77777777" w:rsidR="0065447C" w:rsidRPr="008B44B2" w:rsidRDefault="0065447C" w:rsidP="000C4921">
            <w:pPr>
              <w:jc w:val="center"/>
              <w:rPr>
                <w:rFonts w:cs="Arial"/>
                <w:color w:val="FF0000"/>
                <w:szCs w:val="20"/>
              </w:rPr>
            </w:pPr>
            <w:r w:rsidRPr="008B44B2">
              <w:rPr>
                <w:rFonts w:cs="Arial"/>
                <w:color w:val="FF0000"/>
                <w:szCs w:val="20"/>
              </w:rPr>
              <w:t>(doplní dodavatel)</w:t>
            </w:r>
          </w:p>
        </w:tc>
      </w:tr>
      <w:tr w:rsidR="0065447C" w:rsidRPr="007F4E37" w14:paraId="27F61096" w14:textId="77777777" w:rsidTr="0065447C">
        <w:trPr>
          <w:jc w:val="center"/>
        </w:trPr>
        <w:tc>
          <w:tcPr>
            <w:tcW w:w="7797" w:type="dxa"/>
            <w:vAlign w:val="center"/>
          </w:tcPr>
          <w:p w14:paraId="40DC18F5" w14:textId="77777777" w:rsidR="0065447C" w:rsidRPr="008B44B2" w:rsidRDefault="0065447C" w:rsidP="000C4921">
            <w:pPr>
              <w:autoSpaceDE w:val="0"/>
              <w:autoSpaceDN w:val="0"/>
              <w:adjustRightInd w:val="0"/>
              <w:rPr>
                <w:rFonts w:cs="Arial"/>
                <w:sz w:val="22"/>
                <w:szCs w:val="22"/>
              </w:rPr>
            </w:pPr>
            <w:r w:rsidRPr="008B44B2">
              <w:rPr>
                <w:rFonts w:cs="Arial"/>
                <w:sz w:val="22"/>
                <w:szCs w:val="22"/>
              </w:rPr>
              <w:t>Dodání návodu k použití v ČJ a prohlášení o shodě v papírové i elektronické verzi.</w:t>
            </w:r>
          </w:p>
        </w:tc>
        <w:tc>
          <w:tcPr>
            <w:tcW w:w="1842" w:type="dxa"/>
            <w:vAlign w:val="center"/>
          </w:tcPr>
          <w:p w14:paraId="56B63AAE" w14:textId="77777777" w:rsidR="0065447C" w:rsidRPr="008B44B2" w:rsidRDefault="0065447C" w:rsidP="000C4921">
            <w:pPr>
              <w:jc w:val="center"/>
              <w:rPr>
                <w:rFonts w:cs="Arial"/>
                <w:color w:val="FF0000"/>
                <w:szCs w:val="20"/>
              </w:rPr>
            </w:pPr>
            <w:r w:rsidRPr="008B44B2">
              <w:rPr>
                <w:rFonts w:cs="Arial"/>
                <w:color w:val="FF0000"/>
                <w:szCs w:val="20"/>
              </w:rPr>
              <w:t>(doplní dodavatel)</w:t>
            </w:r>
          </w:p>
        </w:tc>
      </w:tr>
      <w:tr w:rsidR="0065447C" w:rsidRPr="007F4E37" w14:paraId="24B5AE4E" w14:textId="77777777" w:rsidTr="0065447C">
        <w:trPr>
          <w:jc w:val="center"/>
        </w:trPr>
        <w:tc>
          <w:tcPr>
            <w:tcW w:w="7797" w:type="dxa"/>
            <w:vAlign w:val="center"/>
          </w:tcPr>
          <w:p w14:paraId="25E70922" w14:textId="77777777" w:rsidR="0065447C" w:rsidRPr="008B44B2" w:rsidRDefault="0065447C" w:rsidP="000C4921">
            <w:pPr>
              <w:autoSpaceDE w:val="0"/>
              <w:autoSpaceDN w:val="0"/>
              <w:adjustRightInd w:val="0"/>
              <w:rPr>
                <w:rFonts w:cs="Arial"/>
                <w:sz w:val="22"/>
                <w:szCs w:val="22"/>
              </w:rPr>
            </w:pPr>
            <w:r w:rsidRPr="008B44B2">
              <w:rPr>
                <w:rFonts w:cs="Arial"/>
                <w:sz w:val="22"/>
                <w:szCs w:val="22"/>
              </w:rPr>
              <w:t>Provedení zaškolení (instruktáže) obsluhy včetně vyhotovení zápisu.</w:t>
            </w:r>
          </w:p>
        </w:tc>
        <w:tc>
          <w:tcPr>
            <w:tcW w:w="1842" w:type="dxa"/>
            <w:vAlign w:val="center"/>
          </w:tcPr>
          <w:p w14:paraId="2B56317F" w14:textId="77777777" w:rsidR="0065447C" w:rsidRPr="008B44B2" w:rsidRDefault="0065447C" w:rsidP="000C4921">
            <w:pPr>
              <w:jc w:val="center"/>
              <w:rPr>
                <w:rFonts w:cs="Arial"/>
                <w:color w:val="FF0000"/>
                <w:szCs w:val="20"/>
              </w:rPr>
            </w:pPr>
            <w:r w:rsidRPr="008B44B2">
              <w:rPr>
                <w:rFonts w:cs="Arial"/>
                <w:color w:val="FF0000"/>
                <w:szCs w:val="20"/>
              </w:rPr>
              <w:t>(doplní dodavatel)</w:t>
            </w:r>
          </w:p>
        </w:tc>
      </w:tr>
      <w:tr w:rsidR="0065447C" w:rsidRPr="007F4E37" w14:paraId="50CC24A8" w14:textId="77777777" w:rsidTr="0065447C">
        <w:trPr>
          <w:jc w:val="center"/>
        </w:trPr>
        <w:tc>
          <w:tcPr>
            <w:tcW w:w="7797" w:type="dxa"/>
            <w:vAlign w:val="center"/>
          </w:tcPr>
          <w:p w14:paraId="68EC9FA7" w14:textId="77777777" w:rsidR="0065447C" w:rsidRPr="008B44B2" w:rsidRDefault="0065447C" w:rsidP="000C4921">
            <w:pPr>
              <w:autoSpaceDE w:val="0"/>
              <w:autoSpaceDN w:val="0"/>
              <w:adjustRightInd w:val="0"/>
              <w:rPr>
                <w:rFonts w:cs="Arial"/>
                <w:sz w:val="22"/>
                <w:szCs w:val="22"/>
              </w:rPr>
            </w:pPr>
            <w:r w:rsidRPr="008B44B2">
              <w:rPr>
                <w:rFonts w:cs="Arial"/>
                <w:sz w:val="22"/>
                <w:szCs w:val="22"/>
              </w:rPr>
              <w:t>Dodání oprávnění školitele (od výrobce) k provádění instruktáže.</w:t>
            </w:r>
          </w:p>
        </w:tc>
        <w:tc>
          <w:tcPr>
            <w:tcW w:w="1842" w:type="dxa"/>
            <w:vAlign w:val="center"/>
          </w:tcPr>
          <w:p w14:paraId="58B5C825" w14:textId="77777777" w:rsidR="0065447C" w:rsidRPr="008B44B2" w:rsidRDefault="0065447C" w:rsidP="000C4921">
            <w:pPr>
              <w:jc w:val="center"/>
              <w:rPr>
                <w:rFonts w:cs="Arial"/>
                <w:color w:val="FF0000"/>
                <w:szCs w:val="20"/>
              </w:rPr>
            </w:pPr>
            <w:r w:rsidRPr="008B44B2">
              <w:rPr>
                <w:rFonts w:cs="Arial"/>
                <w:color w:val="FF0000"/>
                <w:szCs w:val="20"/>
              </w:rPr>
              <w:t>(doplní dodavatel)</w:t>
            </w:r>
          </w:p>
        </w:tc>
      </w:tr>
      <w:tr w:rsidR="0065447C" w:rsidRPr="007F4E37" w14:paraId="2BE37D45" w14:textId="77777777" w:rsidTr="0065447C">
        <w:trPr>
          <w:jc w:val="center"/>
        </w:trPr>
        <w:tc>
          <w:tcPr>
            <w:tcW w:w="7797" w:type="dxa"/>
            <w:vAlign w:val="center"/>
          </w:tcPr>
          <w:p w14:paraId="42A72C7B" w14:textId="1A008E7A" w:rsidR="0065447C" w:rsidRPr="008B44B2" w:rsidRDefault="0065447C" w:rsidP="000C4921">
            <w:pPr>
              <w:autoSpaceDE w:val="0"/>
              <w:autoSpaceDN w:val="0"/>
              <w:adjustRightInd w:val="0"/>
              <w:rPr>
                <w:rFonts w:cs="Arial"/>
                <w:sz w:val="22"/>
                <w:szCs w:val="22"/>
              </w:rPr>
            </w:pPr>
            <w:r w:rsidRPr="008B44B2">
              <w:rPr>
                <w:rFonts w:cs="Arial"/>
                <w:sz w:val="22"/>
                <w:szCs w:val="22"/>
              </w:rPr>
              <w:t xml:space="preserve">Dodání dokumentace prokazující oprávnění k údržbě </w:t>
            </w:r>
            <w:r w:rsidR="007F4E37" w:rsidRPr="00EC1A26">
              <w:rPr>
                <w:rFonts w:cs="Arial"/>
                <w:sz w:val="22"/>
                <w:szCs w:val="22"/>
              </w:rPr>
              <w:t>dodan</w:t>
            </w:r>
            <w:r w:rsidR="007F4E37">
              <w:rPr>
                <w:rFonts w:cs="Arial"/>
                <w:sz w:val="22"/>
                <w:szCs w:val="22"/>
              </w:rPr>
              <w:t>ých produktů.</w:t>
            </w:r>
          </w:p>
        </w:tc>
        <w:tc>
          <w:tcPr>
            <w:tcW w:w="1842" w:type="dxa"/>
            <w:vAlign w:val="center"/>
          </w:tcPr>
          <w:p w14:paraId="2262304B" w14:textId="77777777" w:rsidR="0065447C" w:rsidRPr="008B44B2" w:rsidRDefault="0065447C" w:rsidP="000C4921">
            <w:pPr>
              <w:jc w:val="center"/>
              <w:rPr>
                <w:rFonts w:cs="Arial"/>
                <w:color w:val="FF0000"/>
                <w:szCs w:val="20"/>
              </w:rPr>
            </w:pPr>
            <w:r w:rsidRPr="008B44B2">
              <w:rPr>
                <w:rFonts w:cs="Arial"/>
                <w:color w:val="FF0000"/>
                <w:szCs w:val="20"/>
              </w:rPr>
              <w:t>(doplní dodavatel)</w:t>
            </w:r>
          </w:p>
        </w:tc>
      </w:tr>
      <w:tr w:rsidR="0065447C" w:rsidRPr="007F4E37" w14:paraId="223D0478" w14:textId="77777777" w:rsidTr="0065447C">
        <w:trPr>
          <w:trHeight w:val="677"/>
          <w:jc w:val="center"/>
        </w:trPr>
        <w:tc>
          <w:tcPr>
            <w:tcW w:w="7797" w:type="dxa"/>
            <w:vAlign w:val="center"/>
          </w:tcPr>
          <w:p w14:paraId="5149999B" w14:textId="77777777" w:rsidR="0065447C" w:rsidRPr="008B44B2" w:rsidRDefault="0065447C" w:rsidP="000C4921">
            <w:pPr>
              <w:autoSpaceDE w:val="0"/>
              <w:autoSpaceDN w:val="0"/>
              <w:adjustRightInd w:val="0"/>
              <w:rPr>
                <w:rFonts w:cs="Arial"/>
                <w:sz w:val="22"/>
                <w:szCs w:val="22"/>
              </w:rPr>
            </w:pPr>
            <w:r w:rsidRPr="008B44B2">
              <w:rPr>
                <w:rFonts w:cs="Arial"/>
                <w:sz w:val="22"/>
                <w:szCs w:val="22"/>
              </w:rPr>
              <w:t>Splnění všech ostatních závazných podmínek předepsaných platnou legislativou.</w:t>
            </w:r>
          </w:p>
        </w:tc>
        <w:tc>
          <w:tcPr>
            <w:tcW w:w="1842" w:type="dxa"/>
            <w:vAlign w:val="center"/>
          </w:tcPr>
          <w:p w14:paraId="0F96AB79" w14:textId="77777777" w:rsidR="0065447C" w:rsidRPr="008B44B2" w:rsidRDefault="0065447C" w:rsidP="000C4921">
            <w:pPr>
              <w:jc w:val="center"/>
              <w:rPr>
                <w:rFonts w:cs="Arial"/>
                <w:color w:val="FF0000"/>
                <w:szCs w:val="20"/>
              </w:rPr>
            </w:pPr>
            <w:r w:rsidRPr="008B44B2">
              <w:rPr>
                <w:rFonts w:cs="Arial"/>
                <w:color w:val="FF0000"/>
                <w:szCs w:val="20"/>
              </w:rPr>
              <w:t>(doplní dodavatel)</w:t>
            </w:r>
          </w:p>
        </w:tc>
      </w:tr>
    </w:tbl>
    <w:p w14:paraId="19E13C53" w14:textId="77777777" w:rsidR="0065447C" w:rsidRPr="008B44B2" w:rsidRDefault="0065447C" w:rsidP="00F15BA6">
      <w:pPr>
        <w:pStyle w:val="Nadpis2"/>
        <w:spacing w:before="240"/>
        <w:rPr>
          <w:rFonts w:ascii="Arial" w:hAnsi="Arial"/>
          <w:sz w:val="28"/>
          <w:szCs w:val="28"/>
        </w:rPr>
      </w:pPr>
    </w:p>
    <w:sectPr w:rsidR="0065447C" w:rsidRPr="008B44B2"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3B74BB" w14:textId="77777777" w:rsidR="00F91B36" w:rsidRDefault="00F91B36">
      <w:r>
        <w:separator/>
      </w:r>
    </w:p>
  </w:endnote>
  <w:endnote w:type="continuationSeparator" w:id="0">
    <w:p w14:paraId="20F7310E" w14:textId="77777777" w:rsidR="00F91B36" w:rsidRDefault="00F91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1C38BC55" w14:textId="54F7383C" w:rsidR="005E6374" w:rsidRDefault="005E6374" w:rsidP="005E6374">
        <w:pPr>
          <w:pStyle w:val="Zpat"/>
          <w:tabs>
            <w:tab w:val="left" w:pos="6330"/>
            <w:tab w:val="right" w:pos="9864"/>
          </w:tabs>
        </w:pPr>
      </w:p>
      <w:p w14:paraId="0CD09862" w14:textId="664B3D74" w:rsidR="000C4921" w:rsidRDefault="000C4921"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00F91A9D">
          <w:rPr>
            <w:rFonts w:ascii="Calibri" w:hAnsi="Calibri" w:cs="Calibri"/>
            <w:noProof/>
            <w:sz w:val="22"/>
            <w:szCs w:val="22"/>
          </w:rPr>
          <w:t>1</w:t>
        </w:r>
        <w:r w:rsidRPr="00567235">
          <w:rPr>
            <w:rFonts w:ascii="Calibri" w:hAnsi="Calibri" w:cs="Calibri"/>
            <w:sz w:val="22"/>
            <w:szCs w:val="22"/>
          </w:rPr>
          <w:fldChar w:fldCharType="end"/>
        </w:r>
      </w:p>
    </w:sdtContent>
  </w:sdt>
  <w:p w14:paraId="3972AD36" w14:textId="77777777" w:rsidR="000C4921" w:rsidRPr="00855DB3" w:rsidRDefault="000C4921"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CD157B" w14:textId="77777777" w:rsidR="00F91B36" w:rsidRDefault="00F91B36">
      <w:r>
        <w:separator/>
      </w:r>
    </w:p>
  </w:footnote>
  <w:footnote w:type="continuationSeparator" w:id="0">
    <w:p w14:paraId="5A588F7D" w14:textId="77777777" w:rsidR="00F91B36" w:rsidRDefault="00F91B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C6C85" w14:textId="3FA179CD" w:rsidR="000C4921" w:rsidRDefault="000C4921" w:rsidP="00C95D5F">
    <w:pPr>
      <w:pStyle w:val="Zhlav"/>
      <w:jc w:val="both"/>
    </w:pPr>
    <w:r>
      <w:rPr>
        <w:noProof/>
      </w:rPr>
      <w:drawing>
        <wp:anchor distT="0" distB="0" distL="114300" distR="114300" simplePos="0" relativeHeight="251658240" behindDoc="0" locked="0" layoutInCell="1" allowOverlap="1" wp14:anchorId="5E31B422" wp14:editId="33D86D32">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72CF7"/>
    <w:multiLevelType w:val="hybridMultilevel"/>
    <w:tmpl w:val="72D856A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40155E"/>
    <w:multiLevelType w:val="hybridMultilevel"/>
    <w:tmpl w:val="A6AE0DA8"/>
    <w:lvl w:ilvl="0" w:tplc="CCC686A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6333255"/>
    <w:multiLevelType w:val="hybridMultilevel"/>
    <w:tmpl w:val="542EEE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6F25C53"/>
    <w:multiLevelType w:val="hybridMultilevel"/>
    <w:tmpl w:val="663687DE"/>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6" w15:restartNumberingAfterBreak="0">
    <w:nsid w:val="32F772AB"/>
    <w:multiLevelType w:val="hybridMultilevel"/>
    <w:tmpl w:val="B1D24CE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E546399"/>
    <w:multiLevelType w:val="hybridMultilevel"/>
    <w:tmpl w:val="7C044CE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45940B2"/>
    <w:multiLevelType w:val="hybridMultilevel"/>
    <w:tmpl w:val="60B8E278"/>
    <w:lvl w:ilvl="0" w:tplc="053E6F4C">
      <w:start w:val="580"/>
      <w:numFmt w:val="bullet"/>
      <w:lvlText w:val="-"/>
      <w:lvlJc w:val="left"/>
      <w:pPr>
        <w:ind w:left="1440" w:hanging="360"/>
      </w:pPr>
      <w:rPr>
        <w:rFonts w:ascii="Arial" w:eastAsia="Times New Roman"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12" w15:restartNumberingAfterBreak="0">
    <w:nsid w:val="45080690"/>
    <w:multiLevelType w:val="hybridMultilevel"/>
    <w:tmpl w:val="F28A2D6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4" w15:restartNumberingAfterBreak="0">
    <w:nsid w:val="47DB5F14"/>
    <w:multiLevelType w:val="hybridMultilevel"/>
    <w:tmpl w:val="8196C22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4DEA3C98"/>
    <w:multiLevelType w:val="hybridMultilevel"/>
    <w:tmpl w:val="971CA6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32C12E1"/>
    <w:multiLevelType w:val="hybridMultilevel"/>
    <w:tmpl w:val="BBD2DBE6"/>
    <w:lvl w:ilvl="0" w:tplc="8AFC7B34">
      <w:start w:val="10"/>
      <w:numFmt w:val="bullet"/>
      <w:lvlText w:val=""/>
      <w:lvlJc w:val="left"/>
      <w:pPr>
        <w:ind w:left="1714" w:hanging="1005"/>
      </w:pPr>
      <w:rPr>
        <w:rFonts w:ascii="Symbol" w:eastAsia="Calibri" w:hAnsi="Symbol"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57E5457C"/>
    <w:multiLevelType w:val="hybridMultilevel"/>
    <w:tmpl w:val="ED5EC0B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8A7441A"/>
    <w:multiLevelType w:val="hybridMultilevel"/>
    <w:tmpl w:val="9AC4E846"/>
    <w:lvl w:ilvl="0" w:tplc="04050001">
      <w:start w:val="1"/>
      <w:numFmt w:val="bullet"/>
      <w:lvlText w:val=""/>
      <w:lvlJc w:val="left"/>
      <w:pPr>
        <w:ind w:left="1428" w:hanging="360"/>
      </w:pPr>
      <w:rPr>
        <w:rFonts w:ascii="Symbol" w:hAnsi="Symbol" w:hint="default"/>
      </w:rPr>
    </w:lvl>
    <w:lvl w:ilvl="1" w:tplc="74E0591A">
      <w:numFmt w:val="bullet"/>
      <w:lvlText w:val="–"/>
      <w:lvlJc w:val="left"/>
      <w:pPr>
        <w:ind w:left="2148" w:hanging="360"/>
      </w:pPr>
      <w:rPr>
        <w:rFonts w:ascii="Times New Roman" w:eastAsia="Calibri" w:hAnsi="Times New Roman" w:cs="Times New Roman"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1" w15:restartNumberingAfterBreak="0">
    <w:nsid w:val="58AC79B0"/>
    <w:multiLevelType w:val="hybridMultilevel"/>
    <w:tmpl w:val="741A78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23" w15:restartNumberingAfterBreak="0">
    <w:nsid w:val="60321DD7"/>
    <w:multiLevelType w:val="hybridMultilevel"/>
    <w:tmpl w:val="D65E7416"/>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4" w15:restartNumberingAfterBreak="0">
    <w:nsid w:val="634105DF"/>
    <w:multiLevelType w:val="hybridMultilevel"/>
    <w:tmpl w:val="FA08B910"/>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5"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3CD783D"/>
    <w:multiLevelType w:val="hybridMultilevel"/>
    <w:tmpl w:val="B8029A00"/>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AE53131"/>
    <w:multiLevelType w:val="multilevel"/>
    <w:tmpl w:val="04050025"/>
    <w:lvl w:ilvl="0">
      <w:start w:val="1"/>
      <w:numFmt w:val="decimal"/>
      <w:lvlText w:val="%1"/>
      <w:lvlJc w:val="left"/>
      <w:pPr>
        <w:ind w:left="1141" w:hanging="432"/>
      </w:pPr>
    </w:lvl>
    <w:lvl w:ilvl="1">
      <w:start w:val="1"/>
      <w:numFmt w:val="decimal"/>
      <w:lvlText w:val="%1.%2"/>
      <w:lvlJc w:val="left"/>
      <w:pPr>
        <w:ind w:left="576" w:hanging="576"/>
      </w:pPr>
    </w:lvl>
    <w:lvl w:ilvl="2">
      <w:start w:val="1"/>
      <w:numFmt w:val="decimal"/>
      <w:lvlText w:val="%1.%2.%3"/>
      <w:lvlJc w:val="left"/>
      <w:pPr>
        <w:ind w:left="2564"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1"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5CB2D52"/>
    <w:multiLevelType w:val="hybridMultilevel"/>
    <w:tmpl w:val="BDF4F30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5"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0"/>
  </w:num>
  <w:num w:numId="3">
    <w:abstractNumId w:val="35"/>
  </w:num>
  <w:num w:numId="4">
    <w:abstractNumId w:val="13"/>
  </w:num>
  <w:num w:numId="5">
    <w:abstractNumId w:val="7"/>
  </w:num>
  <w:num w:numId="6">
    <w:abstractNumId w:val="15"/>
  </w:num>
  <w:num w:numId="7">
    <w:abstractNumId w:val="15"/>
  </w:num>
  <w:num w:numId="8">
    <w:abstractNumId w:val="34"/>
  </w:num>
  <w:num w:numId="9">
    <w:abstractNumId w:val="2"/>
  </w:num>
  <w:num w:numId="10">
    <w:abstractNumId w:val="27"/>
  </w:num>
  <w:num w:numId="11">
    <w:abstractNumId w:val="25"/>
  </w:num>
  <w:num w:numId="12">
    <w:abstractNumId w:val="32"/>
  </w:num>
  <w:num w:numId="13">
    <w:abstractNumId w:val="8"/>
  </w:num>
  <w:num w:numId="14">
    <w:abstractNumId w:val="29"/>
  </w:num>
  <w:num w:numId="15">
    <w:abstractNumId w:val="31"/>
  </w:num>
  <w:num w:numId="16">
    <w:abstractNumId w:val="17"/>
  </w:num>
  <w:num w:numId="17">
    <w:abstractNumId w:val="22"/>
  </w:num>
  <w:num w:numId="18">
    <w:abstractNumId w:val="10"/>
  </w:num>
  <w:num w:numId="19">
    <w:abstractNumId w:val="26"/>
  </w:num>
  <w:num w:numId="20">
    <w:abstractNumId w:val="33"/>
  </w:num>
  <w:num w:numId="21">
    <w:abstractNumId w:val="24"/>
  </w:num>
  <w:num w:numId="22">
    <w:abstractNumId w:val="5"/>
  </w:num>
  <w:num w:numId="23">
    <w:abstractNumId w:val="9"/>
  </w:num>
  <w:num w:numId="24">
    <w:abstractNumId w:val="23"/>
  </w:num>
  <w:num w:numId="25">
    <w:abstractNumId w:val="28"/>
  </w:num>
  <w:num w:numId="26">
    <w:abstractNumId w:val="19"/>
  </w:num>
  <w:num w:numId="27">
    <w:abstractNumId w:val="11"/>
  </w:num>
  <w:num w:numId="28">
    <w:abstractNumId w:val="0"/>
  </w:num>
  <w:num w:numId="29">
    <w:abstractNumId w:val="6"/>
  </w:num>
  <w:num w:numId="30">
    <w:abstractNumId w:val="4"/>
  </w:num>
  <w:num w:numId="31">
    <w:abstractNumId w:val="14"/>
  </w:num>
  <w:num w:numId="32">
    <w:abstractNumId w:val="12"/>
  </w:num>
  <w:num w:numId="33">
    <w:abstractNumId w:val="21"/>
  </w:num>
  <w:num w:numId="34">
    <w:abstractNumId w:val="20"/>
  </w:num>
  <w:num w:numId="35">
    <w:abstractNumId w:val="18"/>
  </w:num>
  <w:num w:numId="36">
    <w:abstractNumId w:val="16"/>
  </w:num>
  <w:num w:numId="37">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9F1"/>
    <w:rsid w:val="000109C3"/>
    <w:rsid w:val="00012A02"/>
    <w:rsid w:val="00017F49"/>
    <w:rsid w:val="00035A0E"/>
    <w:rsid w:val="0003624C"/>
    <w:rsid w:val="000437B4"/>
    <w:rsid w:val="00052D89"/>
    <w:rsid w:val="000645CC"/>
    <w:rsid w:val="0006781A"/>
    <w:rsid w:val="00074528"/>
    <w:rsid w:val="00083B8E"/>
    <w:rsid w:val="00084ED8"/>
    <w:rsid w:val="0008758E"/>
    <w:rsid w:val="00094F6C"/>
    <w:rsid w:val="0009503C"/>
    <w:rsid w:val="000970C0"/>
    <w:rsid w:val="000A1ECC"/>
    <w:rsid w:val="000A20C8"/>
    <w:rsid w:val="000A3B26"/>
    <w:rsid w:val="000B179B"/>
    <w:rsid w:val="000B3193"/>
    <w:rsid w:val="000C1F62"/>
    <w:rsid w:val="000C1FBC"/>
    <w:rsid w:val="000C28E6"/>
    <w:rsid w:val="000C4921"/>
    <w:rsid w:val="000C6A3F"/>
    <w:rsid w:val="000C71E4"/>
    <w:rsid w:val="000D436E"/>
    <w:rsid w:val="000D6B74"/>
    <w:rsid w:val="000E1014"/>
    <w:rsid w:val="000E686D"/>
    <w:rsid w:val="000F24DE"/>
    <w:rsid w:val="000F486F"/>
    <w:rsid w:val="001036F7"/>
    <w:rsid w:val="0011003F"/>
    <w:rsid w:val="00111FF7"/>
    <w:rsid w:val="001258AB"/>
    <w:rsid w:val="00125E54"/>
    <w:rsid w:val="00127285"/>
    <w:rsid w:val="00136081"/>
    <w:rsid w:val="001770B9"/>
    <w:rsid w:val="00185540"/>
    <w:rsid w:val="00191ADF"/>
    <w:rsid w:val="0019452C"/>
    <w:rsid w:val="00197A5B"/>
    <w:rsid w:val="001A75A1"/>
    <w:rsid w:val="001D0261"/>
    <w:rsid w:val="001D1372"/>
    <w:rsid w:val="001D3BFB"/>
    <w:rsid w:val="001E427D"/>
    <w:rsid w:val="001F2952"/>
    <w:rsid w:val="001F2B0E"/>
    <w:rsid w:val="00205BFD"/>
    <w:rsid w:val="00205EE2"/>
    <w:rsid w:val="00214C1D"/>
    <w:rsid w:val="00226F44"/>
    <w:rsid w:val="002476E6"/>
    <w:rsid w:val="00252E14"/>
    <w:rsid w:val="002666F5"/>
    <w:rsid w:val="00273DB9"/>
    <w:rsid w:val="00280A80"/>
    <w:rsid w:val="00287E3D"/>
    <w:rsid w:val="002A27EE"/>
    <w:rsid w:val="002B39F1"/>
    <w:rsid w:val="002C543B"/>
    <w:rsid w:val="002C5A20"/>
    <w:rsid w:val="002D0847"/>
    <w:rsid w:val="002D4509"/>
    <w:rsid w:val="002E3512"/>
    <w:rsid w:val="002E5F2E"/>
    <w:rsid w:val="002E6F56"/>
    <w:rsid w:val="00303205"/>
    <w:rsid w:val="0031657C"/>
    <w:rsid w:val="003448C0"/>
    <w:rsid w:val="00345B5A"/>
    <w:rsid w:val="00360AA4"/>
    <w:rsid w:val="00361D5A"/>
    <w:rsid w:val="00366969"/>
    <w:rsid w:val="00381B11"/>
    <w:rsid w:val="003846F9"/>
    <w:rsid w:val="00393D4B"/>
    <w:rsid w:val="00393D63"/>
    <w:rsid w:val="003B40D7"/>
    <w:rsid w:val="003B4A14"/>
    <w:rsid w:val="003D1E77"/>
    <w:rsid w:val="003D5973"/>
    <w:rsid w:val="003D5FC2"/>
    <w:rsid w:val="003E5E6D"/>
    <w:rsid w:val="004001AC"/>
    <w:rsid w:val="004006C4"/>
    <w:rsid w:val="00411483"/>
    <w:rsid w:val="00426B74"/>
    <w:rsid w:val="004521F2"/>
    <w:rsid w:val="0045612A"/>
    <w:rsid w:val="00463792"/>
    <w:rsid w:val="00464365"/>
    <w:rsid w:val="00470C30"/>
    <w:rsid w:val="0047221C"/>
    <w:rsid w:val="00472A28"/>
    <w:rsid w:val="004838A7"/>
    <w:rsid w:val="004A0B0D"/>
    <w:rsid w:val="004A3D79"/>
    <w:rsid w:val="004B63A4"/>
    <w:rsid w:val="004C57F4"/>
    <w:rsid w:val="004C65DC"/>
    <w:rsid w:val="004C7980"/>
    <w:rsid w:val="004D2DB6"/>
    <w:rsid w:val="004F5479"/>
    <w:rsid w:val="004F69D1"/>
    <w:rsid w:val="005010AE"/>
    <w:rsid w:val="00504A9F"/>
    <w:rsid w:val="00521903"/>
    <w:rsid w:val="00531FC6"/>
    <w:rsid w:val="00532663"/>
    <w:rsid w:val="005329B0"/>
    <w:rsid w:val="00542225"/>
    <w:rsid w:val="0054515C"/>
    <w:rsid w:val="0054628A"/>
    <w:rsid w:val="0056576E"/>
    <w:rsid w:val="00567235"/>
    <w:rsid w:val="00572533"/>
    <w:rsid w:val="005870F2"/>
    <w:rsid w:val="005B06FC"/>
    <w:rsid w:val="005B2A93"/>
    <w:rsid w:val="005C6500"/>
    <w:rsid w:val="005D05E0"/>
    <w:rsid w:val="005D58FF"/>
    <w:rsid w:val="005D6FB3"/>
    <w:rsid w:val="005E15EB"/>
    <w:rsid w:val="005E1A2C"/>
    <w:rsid w:val="005E53D1"/>
    <w:rsid w:val="005E6374"/>
    <w:rsid w:val="005E77A8"/>
    <w:rsid w:val="00600F8C"/>
    <w:rsid w:val="00601065"/>
    <w:rsid w:val="006028C9"/>
    <w:rsid w:val="00602A33"/>
    <w:rsid w:val="00604638"/>
    <w:rsid w:val="00607DA1"/>
    <w:rsid w:val="00615491"/>
    <w:rsid w:val="00620CA2"/>
    <w:rsid w:val="0062603D"/>
    <w:rsid w:val="0063056C"/>
    <w:rsid w:val="00633091"/>
    <w:rsid w:val="006370F4"/>
    <w:rsid w:val="00637A1A"/>
    <w:rsid w:val="00637E1C"/>
    <w:rsid w:val="006466FD"/>
    <w:rsid w:val="006473E4"/>
    <w:rsid w:val="006518A6"/>
    <w:rsid w:val="00652279"/>
    <w:rsid w:val="00654188"/>
    <w:rsid w:val="0065447C"/>
    <w:rsid w:val="006547FB"/>
    <w:rsid w:val="00662654"/>
    <w:rsid w:val="006639EB"/>
    <w:rsid w:val="0067650B"/>
    <w:rsid w:val="006C09D7"/>
    <w:rsid w:val="006E5A2E"/>
    <w:rsid w:val="006F12A7"/>
    <w:rsid w:val="006F6461"/>
    <w:rsid w:val="00703424"/>
    <w:rsid w:val="00704D99"/>
    <w:rsid w:val="0071402B"/>
    <w:rsid w:val="0071532A"/>
    <w:rsid w:val="00716461"/>
    <w:rsid w:val="007230A6"/>
    <w:rsid w:val="0073070F"/>
    <w:rsid w:val="007341AA"/>
    <w:rsid w:val="00734201"/>
    <w:rsid w:val="00743AC9"/>
    <w:rsid w:val="007548F9"/>
    <w:rsid w:val="00756D6D"/>
    <w:rsid w:val="0075721B"/>
    <w:rsid w:val="00767CC9"/>
    <w:rsid w:val="00783B7D"/>
    <w:rsid w:val="007B6C29"/>
    <w:rsid w:val="007D1C73"/>
    <w:rsid w:val="007D4305"/>
    <w:rsid w:val="007D591C"/>
    <w:rsid w:val="007D5D9B"/>
    <w:rsid w:val="007E7126"/>
    <w:rsid w:val="007F4E37"/>
    <w:rsid w:val="007F59FE"/>
    <w:rsid w:val="007F694D"/>
    <w:rsid w:val="007F795F"/>
    <w:rsid w:val="00804134"/>
    <w:rsid w:val="00806E1F"/>
    <w:rsid w:val="00812409"/>
    <w:rsid w:val="00814870"/>
    <w:rsid w:val="0081601A"/>
    <w:rsid w:val="008379B1"/>
    <w:rsid w:val="00842F61"/>
    <w:rsid w:val="00843B0E"/>
    <w:rsid w:val="00855DB3"/>
    <w:rsid w:val="00861184"/>
    <w:rsid w:val="008614C0"/>
    <w:rsid w:val="00867642"/>
    <w:rsid w:val="008710C5"/>
    <w:rsid w:val="00885758"/>
    <w:rsid w:val="00885A25"/>
    <w:rsid w:val="00885D17"/>
    <w:rsid w:val="00890047"/>
    <w:rsid w:val="008B1CD4"/>
    <w:rsid w:val="008B44B2"/>
    <w:rsid w:val="008D7A6F"/>
    <w:rsid w:val="008E1D92"/>
    <w:rsid w:val="00905E90"/>
    <w:rsid w:val="00907E39"/>
    <w:rsid w:val="00921B08"/>
    <w:rsid w:val="00941E60"/>
    <w:rsid w:val="00942F42"/>
    <w:rsid w:val="00965992"/>
    <w:rsid w:val="009673F6"/>
    <w:rsid w:val="009751AA"/>
    <w:rsid w:val="00985725"/>
    <w:rsid w:val="0098671F"/>
    <w:rsid w:val="0099223B"/>
    <w:rsid w:val="00994611"/>
    <w:rsid w:val="009A239C"/>
    <w:rsid w:val="009A2616"/>
    <w:rsid w:val="009B4D26"/>
    <w:rsid w:val="009B4E45"/>
    <w:rsid w:val="009C0B4C"/>
    <w:rsid w:val="009D3720"/>
    <w:rsid w:val="009E189C"/>
    <w:rsid w:val="009F1BBC"/>
    <w:rsid w:val="00A075F1"/>
    <w:rsid w:val="00A37710"/>
    <w:rsid w:val="00A45ABD"/>
    <w:rsid w:val="00A537FA"/>
    <w:rsid w:val="00A70EB3"/>
    <w:rsid w:val="00A72488"/>
    <w:rsid w:val="00A7653E"/>
    <w:rsid w:val="00A811DD"/>
    <w:rsid w:val="00A8362D"/>
    <w:rsid w:val="00A837CA"/>
    <w:rsid w:val="00A87292"/>
    <w:rsid w:val="00A9026B"/>
    <w:rsid w:val="00A91526"/>
    <w:rsid w:val="00AA5638"/>
    <w:rsid w:val="00AB14BC"/>
    <w:rsid w:val="00AB4CDC"/>
    <w:rsid w:val="00AC3F9C"/>
    <w:rsid w:val="00AD7DB4"/>
    <w:rsid w:val="00AE0A9A"/>
    <w:rsid w:val="00B01362"/>
    <w:rsid w:val="00B04151"/>
    <w:rsid w:val="00B07A78"/>
    <w:rsid w:val="00B10101"/>
    <w:rsid w:val="00B3451E"/>
    <w:rsid w:val="00B360D1"/>
    <w:rsid w:val="00B36241"/>
    <w:rsid w:val="00B429BE"/>
    <w:rsid w:val="00B471A0"/>
    <w:rsid w:val="00B5086B"/>
    <w:rsid w:val="00B53DAE"/>
    <w:rsid w:val="00B56957"/>
    <w:rsid w:val="00B74201"/>
    <w:rsid w:val="00B83104"/>
    <w:rsid w:val="00BB0C56"/>
    <w:rsid w:val="00BB2159"/>
    <w:rsid w:val="00BB40AC"/>
    <w:rsid w:val="00BD2C71"/>
    <w:rsid w:val="00BD6D27"/>
    <w:rsid w:val="00BF57F9"/>
    <w:rsid w:val="00C04ADE"/>
    <w:rsid w:val="00C10A7D"/>
    <w:rsid w:val="00C16503"/>
    <w:rsid w:val="00C254B9"/>
    <w:rsid w:val="00C37F21"/>
    <w:rsid w:val="00C40BBB"/>
    <w:rsid w:val="00C4498B"/>
    <w:rsid w:val="00C57F86"/>
    <w:rsid w:val="00C64F47"/>
    <w:rsid w:val="00C81860"/>
    <w:rsid w:val="00C83D5E"/>
    <w:rsid w:val="00C95843"/>
    <w:rsid w:val="00C95D5F"/>
    <w:rsid w:val="00CA0D86"/>
    <w:rsid w:val="00CA2983"/>
    <w:rsid w:val="00CA49BB"/>
    <w:rsid w:val="00CA51FC"/>
    <w:rsid w:val="00CA538B"/>
    <w:rsid w:val="00CC3064"/>
    <w:rsid w:val="00CD382E"/>
    <w:rsid w:val="00CD3A9C"/>
    <w:rsid w:val="00CD65B0"/>
    <w:rsid w:val="00CE02B0"/>
    <w:rsid w:val="00CE32A8"/>
    <w:rsid w:val="00CF60CC"/>
    <w:rsid w:val="00D07B2A"/>
    <w:rsid w:val="00D14FCA"/>
    <w:rsid w:val="00D21719"/>
    <w:rsid w:val="00D241F8"/>
    <w:rsid w:val="00D33243"/>
    <w:rsid w:val="00D3510F"/>
    <w:rsid w:val="00D36304"/>
    <w:rsid w:val="00D370BE"/>
    <w:rsid w:val="00D42818"/>
    <w:rsid w:val="00D431D5"/>
    <w:rsid w:val="00D43214"/>
    <w:rsid w:val="00D44D65"/>
    <w:rsid w:val="00D5247B"/>
    <w:rsid w:val="00D62E8D"/>
    <w:rsid w:val="00D70BF0"/>
    <w:rsid w:val="00D72049"/>
    <w:rsid w:val="00D7314B"/>
    <w:rsid w:val="00D876D7"/>
    <w:rsid w:val="00D928D0"/>
    <w:rsid w:val="00D963DD"/>
    <w:rsid w:val="00DA57E0"/>
    <w:rsid w:val="00DC2021"/>
    <w:rsid w:val="00DC5760"/>
    <w:rsid w:val="00DE3E17"/>
    <w:rsid w:val="00E14675"/>
    <w:rsid w:val="00E2286F"/>
    <w:rsid w:val="00E25961"/>
    <w:rsid w:val="00E25E2C"/>
    <w:rsid w:val="00E3244D"/>
    <w:rsid w:val="00E327B4"/>
    <w:rsid w:val="00E433CE"/>
    <w:rsid w:val="00E45C67"/>
    <w:rsid w:val="00E600E7"/>
    <w:rsid w:val="00E640CE"/>
    <w:rsid w:val="00E65FC7"/>
    <w:rsid w:val="00E70BD0"/>
    <w:rsid w:val="00E70F5C"/>
    <w:rsid w:val="00E73FAD"/>
    <w:rsid w:val="00E753DD"/>
    <w:rsid w:val="00E83F5F"/>
    <w:rsid w:val="00E864C9"/>
    <w:rsid w:val="00EA5D2F"/>
    <w:rsid w:val="00EB28FB"/>
    <w:rsid w:val="00EB3567"/>
    <w:rsid w:val="00EB6305"/>
    <w:rsid w:val="00ED1886"/>
    <w:rsid w:val="00EE1E0E"/>
    <w:rsid w:val="00EF0079"/>
    <w:rsid w:val="00F011A6"/>
    <w:rsid w:val="00F03861"/>
    <w:rsid w:val="00F041D0"/>
    <w:rsid w:val="00F05A17"/>
    <w:rsid w:val="00F069C9"/>
    <w:rsid w:val="00F14182"/>
    <w:rsid w:val="00F15BA6"/>
    <w:rsid w:val="00F16700"/>
    <w:rsid w:val="00F22CB7"/>
    <w:rsid w:val="00F42F2C"/>
    <w:rsid w:val="00F45432"/>
    <w:rsid w:val="00F458FA"/>
    <w:rsid w:val="00F63C45"/>
    <w:rsid w:val="00F66DDD"/>
    <w:rsid w:val="00F70C37"/>
    <w:rsid w:val="00F8317C"/>
    <w:rsid w:val="00F91A9D"/>
    <w:rsid w:val="00F91B36"/>
    <w:rsid w:val="00F935F7"/>
    <w:rsid w:val="00FA0309"/>
    <w:rsid w:val="00FB0179"/>
    <w:rsid w:val="00FB4C27"/>
    <w:rsid w:val="00FB55EE"/>
    <w:rsid w:val="00FD2BC4"/>
    <w:rsid w:val="00FE368B"/>
    <w:rsid w:val="00FE6336"/>
    <w:rsid w:val="00FF73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822A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qFormat/>
    <w:rsid w:val="00601065"/>
    <w:pPr>
      <w:keepNext/>
      <w:keepLines/>
      <w:spacing w:before="200" w:line="276" w:lineRule="auto"/>
      <w:ind w:left="1440" w:hanging="1440"/>
      <w:outlineLvl w:val="7"/>
    </w:pPr>
    <w:rPr>
      <w:rFonts w:ascii="Cambria" w:hAnsi="Cambria"/>
      <w:color w:val="404040"/>
      <w:szCs w:val="20"/>
      <w:lang w:eastAsia="en-US"/>
    </w:rPr>
  </w:style>
  <w:style w:type="paragraph" w:styleId="Nadpis9">
    <w:name w:val="heading 9"/>
    <w:basedOn w:val="Normln"/>
    <w:next w:val="Normln"/>
    <w:link w:val="Nadpis9Char"/>
    <w:uiPriority w:val="9"/>
    <w:qFormat/>
    <w:rsid w:val="00601065"/>
    <w:pPr>
      <w:keepNext/>
      <w:keepLines/>
      <w:spacing w:before="200" w:line="276" w:lineRule="auto"/>
      <w:ind w:left="1584" w:hanging="1584"/>
      <w:outlineLvl w:val="8"/>
    </w:pPr>
    <w:rPr>
      <w:rFonts w:ascii="Cambria" w:hAnsi="Cambria"/>
      <w:i/>
      <w:iCs/>
      <w:color w:val="40404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styleId="Prosttext">
    <w:name w:val="Plain Text"/>
    <w:basedOn w:val="Normln"/>
    <w:link w:val="ProsttextChar"/>
    <w:rsid w:val="00941E60"/>
    <w:rPr>
      <w:rFonts w:cs="Courier New"/>
      <w:sz w:val="24"/>
      <w:lang w:eastAsia="en-US"/>
    </w:rPr>
  </w:style>
  <w:style w:type="character" w:customStyle="1" w:styleId="ProsttextChar">
    <w:name w:val="Prostý text Char"/>
    <w:basedOn w:val="Standardnpsmoodstavce"/>
    <w:link w:val="Prosttext"/>
    <w:rsid w:val="00941E60"/>
    <w:rPr>
      <w:rFonts w:ascii="Arial" w:eastAsia="Times New Roman" w:hAnsi="Arial" w:cs="Courier New"/>
      <w:sz w:val="24"/>
      <w:szCs w:val="24"/>
    </w:rPr>
  </w:style>
  <w:style w:type="character" w:customStyle="1" w:styleId="FontStyle67">
    <w:name w:val="Font Style67"/>
    <w:rsid w:val="00941E60"/>
    <w:rPr>
      <w:rFonts w:ascii="Arial" w:hAnsi="Arial" w:cs="Arial"/>
      <w:color w:val="000000"/>
      <w:sz w:val="18"/>
      <w:szCs w:val="18"/>
    </w:rPr>
  </w:style>
  <w:style w:type="character" w:customStyle="1" w:styleId="Nadpis8Char">
    <w:name w:val="Nadpis 8 Char"/>
    <w:basedOn w:val="Standardnpsmoodstavce"/>
    <w:link w:val="Nadpis8"/>
    <w:uiPriority w:val="9"/>
    <w:rsid w:val="00601065"/>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rsid w:val="00601065"/>
    <w:rPr>
      <w:rFonts w:ascii="Cambria" w:eastAsia="Times New Roman" w:hAnsi="Cambria" w:cs="Times New Roman"/>
      <w:i/>
      <w:iCs/>
      <w:color w:val="404040"/>
      <w:sz w:val="20"/>
      <w:szCs w:val="20"/>
    </w:rPr>
  </w:style>
  <w:style w:type="paragraph" w:styleId="Textkomente">
    <w:name w:val="annotation text"/>
    <w:basedOn w:val="Normln"/>
    <w:link w:val="TextkomenteChar"/>
    <w:uiPriority w:val="99"/>
    <w:semiHidden/>
    <w:unhideWhenUsed/>
    <w:rsid w:val="0009503C"/>
    <w:pPr>
      <w:spacing w:after="200"/>
    </w:pPr>
    <w:rPr>
      <w:rFonts w:ascii="Calibri" w:hAnsi="Calibri"/>
      <w:szCs w:val="20"/>
      <w:lang w:eastAsia="en-US"/>
    </w:rPr>
  </w:style>
  <w:style w:type="character" w:customStyle="1" w:styleId="TextkomenteChar">
    <w:name w:val="Text komentáře Char"/>
    <w:basedOn w:val="Standardnpsmoodstavce"/>
    <w:link w:val="Textkomente"/>
    <w:uiPriority w:val="99"/>
    <w:semiHidden/>
    <w:rsid w:val="0009503C"/>
    <w:rPr>
      <w:rFonts w:ascii="Calibri" w:eastAsia="Times New Roman" w:hAnsi="Calibri" w:cs="Times New Roman"/>
      <w:sz w:val="20"/>
      <w:szCs w:val="20"/>
    </w:rPr>
  </w:style>
  <w:style w:type="character" w:styleId="Odkaznakoment">
    <w:name w:val="annotation reference"/>
    <w:basedOn w:val="Standardnpsmoodstavce"/>
    <w:uiPriority w:val="99"/>
    <w:semiHidden/>
    <w:unhideWhenUsed/>
    <w:rsid w:val="0009503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466359126">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068192854">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17A1B8-1E73-4A5F-BFDE-3BEE1F661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1094</Words>
  <Characters>6459</Characters>
  <Application>Microsoft Office Word</Application>
  <DocSecurity>0</DocSecurity>
  <Lines>53</Lines>
  <Paragraphs>15</Paragraphs>
  <ScaleCrop>false</ScaleCrop>
  <Company/>
  <LinksUpToDate>false</LinksUpToDate>
  <CharactersWithSpaces>7538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2020-06-29T06:51:00Z</dcterms:created>
  <dcterms:modified xsi:type="dcterms:W3CDTF">2020-08-12T05:26:00Z</dcterms:modified>
</cp:coreProperties>
</file>