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5B2" w:rsidRPr="004560C7" w:rsidRDefault="008D65B2" w:rsidP="008D65B2">
      <w:pPr>
        <w:pStyle w:val="Zhlav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4560C7">
        <w:rPr>
          <w:rFonts w:ascii="Calibri" w:hAnsi="Calibri" w:cs="Calibri"/>
          <w:b/>
          <w:sz w:val="22"/>
          <w:szCs w:val="22"/>
        </w:rPr>
        <w:t xml:space="preserve">PŘÍLOHA </w:t>
      </w:r>
      <w:r w:rsidRPr="008C260C">
        <w:rPr>
          <w:rFonts w:ascii="Calibri" w:hAnsi="Calibri" w:cs="Calibri"/>
          <w:b/>
          <w:sz w:val="22"/>
          <w:szCs w:val="22"/>
          <w:highlight w:val="yellow"/>
        </w:rPr>
        <w:t>Č. 6</w:t>
      </w:r>
      <w:r w:rsidRPr="004560C7">
        <w:rPr>
          <w:rFonts w:ascii="Calibri" w:hAnsi="Calibri" w:cs="Calibri"/>
          <w:b/>
          <w:sz w:val="22"/>
          <w:szCs w:val="22"/>
        </w:rPr>
        <w:t xml:space="preserve"> ZADÁVACÍ DOKUMENTACE</w:t>
      </w:r>
    </w:p>
    <w:p w:rsidR="008D65B2" w:rsidRPr="00A14B32" w:rsidRDefault="008D65B2" w:rsidP="008D65B2">
      <w:pPr>
        <w:shd w:val="clear" w:color="auto" w:fill="FFFFFF"/>
        <w:ind w:right="-108"/>
        <w:jc w:val="center"/>
        <w:rPr>
          <w:rFonts w:cs="Calibri"/>
          <w:noProof/>
        </w:rPr>
      </w:pPr>
    </w:p>
    <w:p w:rsidR="008D65B2" w:rsidRPr="00A14B32" w:rsidRDefault="008D65B2" w:rsidP="008D65B2">
      <w:pPr>
        <w:shd w:val="clear" w:color="auto" w:fill="FFFFFF"/>
        <w:ind w:right="-108"/>
        <w:jc w:val="center"/>
        <w:rPr>
          <w:rFonts w:eastAsia="Cambria" w:cs="Calibri"/>
          <w:b/>
          <w:bCs/>
          <w:caps/>
        </w:rPr>
      </w:pPr>
      <w:r w:rsidRPr="00A14B32">
        <w:rPr>
          <w:rFonts w:eastAsia="Cambria" w:cs="Calibri"/>
          <w:b/>
          <w:bCs/>
          <w:caps/>
        </w:rPr>
        <w:t>FORMULÁŘ PRO VÝPOČET NABÍDKOVÉ CENY, pokyny pro vyplnění formuláře</w:t>
      </w:r>
    </w:p>
    <w:p w:rsidR="008D65B2" w:rsidRPr="00A14B32" w:rsidRDefault="008D65B2" w:rsidP="008D65B2">
      <w:pPr>
        <w:pStyle w:val="Zhlav"/>
        <w:spacing w:line="276" w:lineRule="auto"/>
        <w:rPr>
          <w:rFonts w:ascii="Calibri" w:hAnsi="Calibri" w:cs="Calibri"/>
          <w:sz w:val="22"/>
          <w:szCs w:val="22"/>
        </w:rPr>
      </w:pPr>
      <w:r w:rsidRPr="00A14B32">
        <w:rPr>
          <w:rFonts w:ascii="Calibri" w:hAnsi="Calibri" w:cs="Calibri"/>
          <w:sz w:val="22"/>
          <w:szCs w:val="22"/>
          <w:highlight w:val="green"/>
        </w:rPr>
        <w:t>[UCHAZEČ DOPLNÍ ÚDAJE DO TABULKY PŘILOŽENÉ K ZADÁVACÍ DOKUMENTACI V ELEKTRONICKÉ PODOBĚ</w:t>
      </w:r>
      <w:r w:rsidR="00144495">
        <w:rPr>
          <w:rFonts w:ascii="Calibri" w:hAnsi="Calibri" w:cs="Calibri"/>
          <w:sz w:val="22"/>
          <w:szCs w:val="22"/>
          <w:highlight w:val="green"/>
          <w:lang w:val="cs-CZ"/>
        </w:rPr>
        <w:t xml:space="preserve"> (PŘÍLOHA Č. 6A)</w:t>
      </w:r>
      <w:r w:rsidRPr="00A14B32">
        <w:rPr>
          <w:rFonts w:ascii="Calibri" w:hAnsi="Calibri" w:cs="Calibri"/>
          <w:sz w:val="22"/>
          <w:szCs w:val="22"/>
          <w:highlight w:val="green"/>
        </w:rPr>
        <w:t xml:space="preserve"> DLE POKYNŮ UVEDENÝCH NÍŽE A NÁSLEDNĚ TAKTO DOLPNĚNOU TABULKU VYTISKNE A V PÍSEMNÉ PODOBĚ PŘILOŽÍ KE SVÉ NABÍDCE</w:t>
      </w:r>
      <w:r w:rsidRPr="00A14B32">
        <w:rPr>
          <w:rFonts w:ascii="Calibri" w:hAnsi="Calibri" w:cs="Calibri"/>
          <w:sz w:val="22"/>
          <w:szCs w:val="22"/>
        </w:rPr>
        <w:t>]</w:t>
      </w:r>
    </w:p>
    <w:p w:rsidR="008D65B2" w:rsidRPr="00A14B32" w:rsidRDefault="008D65B2" w:rsidP="008D65B2">
      <w:pPr>
        <w:pStyle w:val="Zhlav"/>
        <w:spacing w:line="276" w:lineRule="auto"/>
        <w:rPr>
          <w:rFonts w:ascii="Calibri" w:hAnsi="Calibri" w:cs="Calibri"/>
          <w:sz w:val="22"/>
          <w:szCs w:val="22"/>
        </w:rPr>
      </w:pPr>
    </w:p>
    <w:p w:rsidR="008D65B2" w:rsidRPr="00A14B32" w:rsidRDefault="008D65B2" w:rsidP="008D65B2">
      <w:pPr>
        <w:pStyle w:val="Nadpis1"/>
        <w:numPr>
          <w:ilvl w:val="0"/>
          <w:numId w:val="12"/>
        </w:numPr>
        <w:rPr>
          <w:rFonts w:cs="Calibri"/>
        </w:rPr>
      </w:pPr>
      <w:r w:rsidRPr="00A14B32">
        <w:rPr>
          <w:rFonts w:cs="Calibri"/>
        </w:rPr>
        <w:t>Úvod</w:t>
      </w:r>
    </w:p>
    <w:p w:rsidR="008D65B2" w:rsidRPr="00A14B32" w:rsidRDefault="008D65B2" w:rsidP="008D65B2">
      <w:pPr>
        <w:jc w:val="both"/>
        <w:rPr>
          <w:rFonts w:cs="Calibri"/>
        </w:rPr>
      </w:pPr>
      <w:r w:rsidRPr="00A14B32">
        <w:rPr>
          <w:rFonts w:cs="Calibri"/>
        </w:rPr>
        <w:t xml:space="preserve">Zadavatel požaduje, aby uchazeči vypracovali nabídkovou cenu detailně v podobě „ceníku služeb“ podle kategorií vozidel, která mohou být v průběhu plnění Veřejné zakázky použita.  Pro tento účel byl Zadavatelem vypracován požadavek na počet použitých vozidel v dále uvedených kategoriích. </w:t>
      </w:r>
    </w:p>
    <w:p w:rsidR="008D65B2" w:rsidRPr="00A14B32" w:rsidRDefault="008D65B2" w:rsidP="008D65B2">
      <w:pPr>
        <w:jc w:val="both"/>
        <w:rPr>
          <w:rFonts w:cs="Calibri"/>
        </w:rPr>
      </w:pPr>
      <w:r w:rsidRPr="00A14B32">
        <w:rPr>
          <w:rFonts w:cs="Calibri"/>
        </w:rPr>
        <w:t>Kategorie vozidel jsou vyhlášen</w:t>
      </w:r>
      <w:r>
        <w:rPr>
          <w:rFonts w:cs="Calibri"/>
        </w:rPr>
        <w:t>y</w:t>
      </w:r>
      <w:r w:rsidRPr="00A14B32">
        <w:rPr>
          <w:rFonts w:cs="Calibri"/>
        </w:rPr>
        <w:t xml:space="preserve"> v zadávací dokumentaci podle následující tabulky:</w:t>
      </w:r>
    </w:p>
    <w:tbl>
      <w:tblPr>
        <w:tblW w:w="882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455"/>
        <w:gridCol w:w="698"/>
        <w:gridCol w:w="636"/>
        <w:gridCol w:w="779"/>
        <w:gridCol w:w="709"/>
        <w:gridCol w:w="960"/>
        <w:gridCol w:w="960"/>
        <w:gridCol w:w="1160"/>
      </w:tblGrid>
      <w:tr w:rsidR="008D65B2" w:rsidRPr="00A14B32" w:rsidTr="005900FE">
        <w:trPr>
          <w:trHeight w:val="405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extDirection w:val="btLr"/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kód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Typ (kategorie)</w:t>
            </w:r>
          </w:p>
        </w:tc>
        <w:tc>
          <w:tcPr>
            <w:tcW w:w="1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Počet míst (minimálně celkem)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14B32">
              <w:rPr>
                <w:rFonts w:eastAsia="Times New Roman" w:cs="Calibri"/>
                <w:color w:val="000000"/>
              </w:rPr>
              <w:t>P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14B32">
              <w:rPr>
                <w:rFonts w:eastAsia="Times New Roman" w:cs="Calibri"/>
                <w:color w:val="000000"/>
              </w:rPr>
              <w:t>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14B32">
              <w:rPr>
                <w:rFonts w:eastAsia="Times New Roman" w:cs="Calibri"/>
                <w:color w:val="000000"/>
              </w:rPr>
              <w:t>B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Provoz vozidla celkem za rok při proběhu km</w:t>
            </w:r>
          </w:p>
        </w:tc>
      </w:tr>
      <w:tr w:rsidR="008D65B2" w:rsidRPr="00A14B32" w:rsidTr="005900FE">
        <w:trPr>
          <w:trHeight w:val="705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</w:p>
        </w:tc>
        <w:tc>
          <w:tcPr>
            <w:tcW w:w="1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cena PHM Kč/km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8D65B2" w:rsidRPr="00A14B32" w:rsidRDefault="00BD4476" w:rsidP="00BD4476">
            <w:pPr>
              <w:spacing w:after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Ostatní variabilní nákl. Kč/km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 xml:space="preserve">fixní nákl. </w:t>
            </w:r>
            <w:proofErr w:type="gramStart"/>
            <w:r w:rsidRPr="00A14B32">
              <w:rPr>
                <w:rFonts w:eastAsia="Times New Roman" w:cs="Calibri"/>
              </w:rPr>
              <w:t>na</w:t>
            </w:r>
            <w:proofErr w:type="gramEnd"/>
            <w:r w:rsidRPr="00A14B32">
              <w:rPr>
                <w:rFonts w:eastAsia="Times New Roman" w:cs="Calibri"/>
              </w:rPr>
              <w:t xml:space="preserve"> provoz vozidla Kč/rok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</w:p>
        </w:tc>
      </w:tr>
      <w:tr w:rsidR="008D65B2" w:rsidRPr="00A14B32" w:rsidTr="005900FE">
        <w:trPr>
          <w:trHeight w:val="315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sezení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stání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celkem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center"/>
              <w:rPr>
                <w:rFonts w:eastAsia="Times New Roman" w:cs="Calibri"/>
                <w:color w:val="000000"/>
              </w:rPr>
            </w:pPr>
            <w:r w:rsidRPr="00A14B32">
              <w:rPr>
                <w:rFonts w:eastAsia="Times New Roman" w:cs="Calibri"/>
                <w:color w:val="000000"/>
              </w:rPr>
              <w:t>56 000</w:t>
            </w:r>
          </w:p>
        </w:tc>
      </w:tr>
      <w:tr w:rsidR="008D65B2" w:rsidRPr="00A14B32" w:rsidTr="005900F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Autobus malý          M1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15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000000"/>
              </w:rPr>
            </w:pPr>
            <w:r w:rsidRPr="00A14B32">
              <w:rPr>
                <w:rFonts w:eastAsia="Times New Roman" w:cs="Calibri"/>
                <w:color w:val="000000"/>
              </w:rPr>
              <w:t>0</w:t>
            </w:r>
          </w:p>
        </w:tc>
      </w:tr>
      <w:tr w:rsidR="008D65B2" w:rsidRPr="00A14B32" w:rsidTr="005900F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 xml:space="preserve">Autobus </w:t>
            </w:r>
            <w:proofErr w:type="gramStart"/>
            <w:r w:rsidRPr="00A14B32">
              <w:rPr>
                <w:rFonts w:eastAsia="Times New Roman" w:cs="Calibri"/>
                <w:color w:val="C00000"/>
              </w:rPr>
              <w:t>malý (+)   M2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000000"/>
              </w:rPr>
            </w:pPr>
            <w:r w:rsidRPr="00A14B32">
              <w:rPr>
                <w:rFonts w:eastAsia="Times New Roman" w:cs="Calibri"/>
                <w:color w:val="000000"/>
              </w:rPr>
              <w:t>0</w:t>
            </w:r>
          </w:p>
        </w:tc>
      </w:tr>
      <w:tr w:rsidR="008D65B2" w:rsidRPr="00A14B32" w:rsidTr="005900F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 xml:space="preserve">Autobus </w:t>
            </w:r>
            <w:proofErr w:type="gramStart"/>
            <w:r w:rsidRPr="00A14B32">
              <w:rPr>
                <w:rFonts w:eastAsia="Times New Roman" w:cs="Calibri"/>
                <w:color w:val="C00000"/>
              </w:rPr>
              <w:t>střední      S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25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000000"/>
              </w:rPr>
            </w:pPr>
            <w:r w:rsidRPr="00A14B32">
              <w:rPr>
                <w:rFonts w:eastAsia="Times New Roman" w:cs="Calibri"/>
                <w:color w:val="000000"/>
              </w:rPr>
              <w:t>0</w:t>
            </w:r>
          </w:p>
        </w:tc>
      </w:tr>
      <w:tr w:rsidR="008D65B2" w:rsidRPr="00A14B32" w:rsidTr="005900F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Autobus velký         V1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9A5031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>
              <w:rPr>
                <w:rFonts w:eastAsia="Times New Roman" w:cs="Calibri"/>
                <w:color w:val="C00000"/>
              </w:rPr>
              <w:t>35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9A5031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>
              <w:rPr>
                <w:rFonts w:eastAsia="Times New Roman" w:cs="Calibri"/>
                <w:color w:val="C00000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000000"/>
              </w:rPr>
            </w:pPr>
            <w:r w:rsidRPr="00A14B32">
              <w:rPr>
                <w:rFonts w:eastAsia="Times New Roman" w:cs="Calibri"/>
                <w:color w:val="000000"/>
              </w:rPr>
              <w:t>0</w:t>
            </w:r>
          </w:p>
        </w:tc>
      </w:tr>
      <w:tr w:rsidR="008D65B2" w:rsidRPr="00A14B32" w:rsidTr="005900F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Autobus velký (+)  V2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9A5031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5</w:t>
            </w:r>
            <w:r w:rsidR="009A5031">
              <w:rPr>
                <w:rFonts w:eastAsia="Times New Roman" w:cs="Calibri"/>
                <w:color w:val="C00000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9A5031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>
              <w:rPr>
                <w:rFonts w:eastAsia="Times New Roman" w:cs="Calibri"/>
                <w:color w:val="C00000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C00000"/>
              </w:rPr>
            </w:pPr>
            <w:r w:rsidRPr="00A14B32">
              <w:rPr>
                <w:rFonts w:eastAsia="Times New Roman" w:cs="Calibri"/>
                <w:color w:val="C00000"/>
              </w:rPr>
              <w:t>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</w:rPr>
            </w:pPr>
            <w:r w:rsidRPr="00A14B32">
              <w:rPr>
                <w:rFonts w:eastAsia="Times New Roman" w:cs="Calibri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8D65B2" w:rsidRPr="00A14B32" w:rsidRDefault="008D65B2" w:rsidP="005900FE">
            <w:pPr>
              <w:spacing w:after="0"/>
              <w:jc w:val="both"/>
              <w:rPr>
                <w:rFonts w:eastAsia="Times New Roman" w:cs="Calibri"/>
                <w:color w:val="000000"/>
              </w:rPr>
            </w:pPr>
            <w:r w:rsidRPr="00A14B32">
              <w:rPr>
                <w:rFonts w:eastAsia="Times New Roman" w:cs="Calibri"/>
                <w:color w:val="000000"/>
              </w:rPr>
              <w:t>0</w:t>
            </w:r>
          </w:p>
        </w:tc>
      </w:tr>
    </w:tbl>
    <w:p w:rsidR="008D65B2" w:rsidRPr="00A14B32" w:rsidRDefault="008D65B2" w:rsidP="008D65B2">
      <w:pPr>
        <w:jc w:val="both"/>
        <w:rPr>
          <w:rFonts w:cs="Calibri"/>
        </w:rPr>
      </w:pPr>
    </w:p>
    <w:p w:rsidR="008D65B2" w:rsidRPr="00A14B32" w:rsidRDefault="008D65B2" w:rsidP="008D65B2">
      <w:pPr>
        <w:jc w:val="both"/>
        <w:rPr>
          <w:rFonts w:cs="Calibri"/>
        </w:rPr>
      </w:pPr>
      <w:r w:rsidRPr="00A14B32">
        <w:rPr>
          <w:rFonts w:cs="Calibri"/>
        </w:rPr>
        <w:t>Cena dopravního výkonu se skládá z cen za dopravní práci uskutečněnou jednotlivými kategoriemi vozidel v závislosti na jejich dopravním výkonu za sledované období. Z tohoto důvodu je cena za každou kategorii vozidel rozdělena na náklady na pohonné hmoty (P) v Kč/km, ostatní variabilní náklady závislé na dopravním výkonu (O) v Kč/km, fixní náklady, spojené s provozem příslušné kategorie vozidel (B) v Kč/období.</w:t>
      </w:r>
    </w:p>
    <w:p w:rsidR="008D65B2" w:rsidRPr="00A14B32" w:rsidRDefault="008D65B2" w:rsidP="008D65B2">
      <w:pPr>
        <w:jc w:val="both"/>
        <w:rPr>
          <w:rFonts w:cs="Calibri"/>
        </w:rPr>
      </w:pPr>
      <w:r w:rsidRPr="00A14B32">
        <w:rPr>
          <w:rFonts w:cs="Calibri"/>
        </w:rPr>
        <w:t xml:space="preserve">Cena dopravního výkonu účtovaná objednateli je součtem nákladů na provoz všech kategorií použitých vozidel a fixní složky (R) v Kč/období, která obsahuje správní </w:t>
      </w:r>
      <w:r w:rsidRPr="00982C7C">
        <w:rPr>
          <w:rFonts w:cs="Calibri"/>
        </w:rPr>
        <w:t xml:space="preserve">režii dopravce </w:t>
      </w:r>
      <w:r w:rsidRPr="005732FE">
        <w:rPr>
          <w:rFonts w:cs="Calibri"/>
        </w:rPr>
        <w:t>a jeho kalkulovaný zisk (čistý příjem).</w:t>
      </w:r>
    </w:p>
    <w:p w:rsidR="008D65B2" w:rsidRPr="00A14B32" w:rsidRDefault="008D65B2" w:rsidP="008D65B2">
      <w:pPr>
        <w:jc w:val="both"/>
        <w:rPr>
          <w:rFonts w:cs="Calibri"/>
          <w:b/>
        </w:rPr>
      </w:pPr>
      <w:r w:rsidRPr="00C51E38">
        <w:rPr>
          <w:rFonts w:cs="Calibri"/>
          <w:b/>
          <w:highlight w:val="yellow"/>
        </w:rPr>
        <w:t>Cena dopravního výkonu bude pro účely vytvoření nabídkové ceny kalkulována podle dopravního výkonu</w:t>
      </w:r>
      <w:r w:rsidR="00C51E38" w:rsidRPr="00C51E38">
        <w:rPr>
          <w:rFonts w:cs="Calibri"/>
          <w:b/>
          <w:highlight w:val="yellow"/>
        </w:rPr>
        <w:t xml:space="preserve">, který Zadavatel předpokládá realizovat v prvním roce </w:t>
      </w:r>
      <w:r w:rsidR="00EA4687">
        <w:rPr>
          <w:rFonts w:cs="Calibri"/>
          <w:b/>
          <w:highlight w:val="yellow"/>
        </w:rPr>
        <w:t>plnění Smlouvy</w:t>
      </w:r>
      <w:r w:rsidR="00C51E38" w:rsidRPr="00C51E38">
        <w:rPr>
          <w:rFonts w:cs="Calibri"/>
          <w:b/>
          <w:highlight w:val="yellow"/>
        </w:rPr>
        <w:t xml:space="preserve">. </w:t>
      </w:r>
      <w:r w:rsidR="00C51E38">
        <w:rPr>
          <w:rFonts w:cs="Calibri"/>
          <w:b/>
          <w:highlight w:val="yellow"/>
        </w:rPr>
        <w:t>Z</w:t>
      </w:r>
      <w:r w:rsidR="00C51E38" w:rsidRPr="00C51E38">
        <w:rPr>
          <w:rFonts w:cs="Calibri"/>
          <w:b/>
          <w:highlight w:val="yellow"/>
        </w:rPr>
        <w:t xml:space="preserve"> důvodu zajištění transparentnosti zadání </w:t>
      </w:r>
      <w:r w:rsidRPr="00C51E38">
        <w:rPr>
          <w:rFonts w:cs="Calibri"/>
          <w:b/>
          <w:highlight w:val="yellow"/>
        </w:rPr>
        <w:t>vypracoval Zadavatel přehled údajů potřebných k výpočtu nákladů na zajištění požadovaného rozsahu dopravní obslužnosti, které uchazeč uvede v aktuálních cenách.</w:t>
      </w:r>
      <w:r w:rsidRPr="00A14B32">
        <w:rPr>
          <w:rFonts w:cs="Calibri"/>
          <w:b/>
        </w:rPr>
        <w:t xml:space="preserve"> </w:t>
      </w:r>
    </w:p>
    <w:p w:rsidR="008D65B2" w:rsidRPr="00A14B32" w:rsidRDefault="008D65B2" w:rsidP="008D65B2">
      <w:pPr>
        <w:jc w:val="both"/>
        <w:rPr>
          <w:rFonts w:cs="Calibri"/>
        </w:rPr>
      </w:pPr>
      <w:r w:rsidRPr="00A14B32">
        <w:rPr>
          <w:rFonts w:cs="Calibri"/>
        </w:rPr>
        <w:lastRenderedPageBreak/>
        <w:t xml:space="preserve">Pro účely porovnání jsou celkové </w:t>
      </w:r>
      <w:r w:rsidRPr="00A14B32">
        <w:rPr>
          <w:rFonts w:cs="Calibri"/>
          <w:b/>
        </w:rPr>
        <w:t>náklady na jednotlivé kategorie vozidel kalkulovány při výkonu 56.000 km/rok (průměrná hodnota dopravního výkonu na vozidlo</w:t>
      </w:r>
      <w:r w:rsidRPr="00A14B32">
        <w:rPr>
          <w:rFonts w:cs="Calibri"/>
        </w:rPr>
        <w:t>).</w:t>
      </w:r>
    </w:p>
    <w:p w:rsidR="008D65B2" w:rsidRPr="00F10288" w:rsidRDefault="008D65B2" w:rsidP="008D65B2">
      <w:pPr>
        <w:jc w:val="both"/>
        <w:rPr>
          <w:rFonts w:cs="Calibri"/>
        </w:rPr>
      </w:pPr>
      <w:r w:rsidRPr="00F10288">
        <w:rPr>
          <w:rFonts w:cs="Calibri"/>
        </w:rPr>
        <w:t>Do jednotlivých nákladových položek nabídkové ceny (ceny dopravního výkonu) uchazeč nezahrne cenu za použití infrastruktury</w:t>
      </w:r>
      <w:r>
        <w:rPr>
          <w:rFonts w:cs="Calibri"/>
        </w:rPr>
        <w:t xml:space="preserve"> (zejm. poplatky za vjezd na autobusová</w:t>
      </w:r>
      <w:r w:rsidRPr="00F10288">
        <w:rPr>
          <w:rFonts w:cs="Calibri"/>
        </w:rPr>
        <w:t xml:space="preserve"> </w:t>
      </w:r>
      <w:r>
        <w:rPr>
          <w:rFonts w:cs="Calibri"/>
        </w:rPr>
        <w:t xml:space="preserve">nádraží) </w:t>
      </w:r>
      <w:r w:rsidRPr="00F10288">
        <w:rPr>
          <w:rFonts w:cs="Calibri"/>
        </w:rPr>
        <w:t xml:space="preserve">a náklady na elektronické mýtné. Tyto položky budou hrazeny na základě dohody s vlastníky autobusových nádraží přímo Zadavatelem nebo budou hrazeny dopravci v prokazatelné výši na základě zvláštní dohody, která se v případě uzavření stane přílohou Smlouvy. </w:t>
      </w:r>
      <w:r w:rsidRPr="0010480C">
        <w:rPr>
          <w:rFonts w:cs="Calibri"/>
        </w:rPr>
        <w:t>(Dohoda bude mít formu refundace prokazatelných nákladů za nakupované služby bez možnosti účtovat další vlastní náklady dopravcem.)</w:t>
      </w:r>
    </w:p>
    <w:p w:rsidR="008D65B2" w:rsidRPr="00A14B32" w:rsidRDefault="008D65B2" w:rsidP="008D65B2">
      <w:pPr>
        <w:jc w:val="both"/>
        <w:rPr>
          <w:rFonts w:cs="Calibri"/>
        </w:rPr>
      </w:pPr>
      <w:r w:rsidRPr="00A14B32">
        <w:rPr>
          <w:rFonts w:cs="Calibri"/>
        </w:rPr>
        <w:t xml:space="preserve">Vzhledem k charakteru veřejné služby v přepravě cestujících, kdy dochází k častým změnám požadavků na změny vedení linek a časovou polohu spojů, byla zpracována pravidla pro přepočet ceny dopravního výkonu s ohledem na očekávané změny, která jsou uvedena v příloze </w:t>
      </w:r>
      <w:r w:rsidRPr="00321CC2">
        <w:rPr>
          <w:rFonts w:cs="Calibri"/>
          <w:highlight w:val="yellow"/>
        </w:rPr>
        <w:t>č. 5 Zadávací</w:t>
      </w:r>
      <w:r w:rsidRPr="00A14B32">
        <w:rPr>
          <w:rFonts w:cs="Calibri"/>
        </w:rPr>
        <w:t xml:space="preserve"> dokumentace (dále jen „Pravidla“).</w:t>
      </w:r>
    </w:p>
    <w:p w:rsidR="008D65B2" w:rsidRPr="00A14B32" w:rsidRDefault="008D65B2" w:rsidP="008D65B2">
      <w:pPr>
        <w:jc w:val="both"/>
        <w:rPr>
          <w:rFonts w:cs="Calibri"/>
        </w:rPr>
      </w:pPr>
      <w:r w:rsidRPr="00A14B32">
        <w:rPr>
          <w:rFonts w:cs="Calibri"/>
        </w:rPr>
        <w:t>Obsah jednotlivých nákladových položek, způsob výpočtu ceny dopravního výkonu při vzniku dopravní zakázky a způsob přepočtu ceny v případě změn dopravního zadání vlivem změn jízdních řádů, je uveden v Pravidlech.</w:t>
      </w:r>
    </w:p>
    <w:p w:rsidR="008D65B2" w:rsidRPr="00A14B32" w:rsidRDefault="008D65B2" w:rsidP="008D65B2">
      <w:pPr>
        <w:pStyle w:val="Nadpis1"/>
        <w:numPr>
          <w:ilvl w:val="0"/>
          <w:numId w:val="12"/>
        </w:numPr>
        <w:rPr>
          <w:rFonts w:cs="Calibri"/>
        </w:rPr>
      </w:pPr>
      <w:bookmarkStart w:id="0" w:name="_Ref327783910"/>
      <w:r w:rsidRPr="00A14B32">
        <w:rPr>
          <w:rFonts w:cs="Calibri"/>
        </w:rPr>
        <w:t>POKYNY PRO VYPLNĚNÍ TABULKY</w:t>
      </w:r>
      <w:r w:rsidRPr="00982C7C">
        <w:rPr>
          <w:rFonts w:cs="Calibri"/>
        </w:rPr>
        <w:t xml:space="preserve"> </w:t>
      </w:r>
      <w:r>
        <w:rPr>
          <w:rFonts w:cs="Calibri"/>
        </w:rPr>
        <w:t>pro výpočet nabídkové ceny</w:t>
      </w:r>
      <w:bookmarkEnd w:id="0"/>
    </w:p>
    <w:p w:rsidR="008D65B2" w:rsidRPr="00A14B32" w:rsidRDefault="008D65B2" w:rsidP="008D65B2">
      <w:pPr>
        <w:jc w:val="both"/>
        <w:rPr>
          <w:rFonts w:cs="Calibri"/>
        </w:rPr>
      </w:pPr>
      <w:r w:rsidRPr="00A14B32">
        <w:rPr>
          <w:rFonts w:cs="Calibri"/>
        </w:rPr>
        <w:t xml:space="preserve">Výkazy jsou poskytnuty uchazečům též </w:t>
      </w:r>
      <w:r>
        <w:rPr>
          <w:rFonts w:cs="Calibri"/>
        </w:rPr>
        <w:t xml:space="preserve">dokumenty </w:t>
      </w:r>
      <w:r w:rsidRPr="00A14B32">
        <w:rPr>
          <w:rFonts w:cs="Calibri"/>
        </w:rPr>
        <w:t xml:space="preserve">v elektronické podobě ve formátu </w:t>
      </w:r>
      <w:proofErr w:type="spellStart"/>
      <w:r w:rsidRPr="00A14B32">
        <w:rPr>
          <w:rFonts w:cs="Calibri"/>
        </w:rPr>
        <w:t>xls</w:t>
      </w:r>
      <w:proofErr w:type="spellEnd"/>
      <w:r w:rsidRPr="00A14B32">
        <w:rPr>
          <w:rFonts w:cs="Calibri"/>
        </w:rPr>
        <w:t>, který obsahuje</w:t>
      </w:r>
      <w:r w:rsidR="009940A0">
        <w:rPr>
          <w:rFonts w:cs="Calibri"/>
        </w:rPr>
        <w:t xml:space="preserve"> 6</w:t>
      </w:r>
      <w:r w:rsidRPr="00A14B32">
        <w:rPr>
          <w:rFonts w:cs="Calibri"/>
        </w:rPr>
        <w:t xml:space="preserve"> listů MS Excel.</w:t>
      </w:r>
      <w:r>
        <w:rPr>
          <w:rFonts w:cs="Calibri"/>
        </w:rPr>
        <w:t xml:space="preserve"> Níže jsou uvedeny pokyny pro vyplnění tabulky.</w:t>
      </w:r>
    </w:p>
    <w:p w:rsidR="008D65B2" w:rsidRPr="00A14B32" w:rsidRDefault="008D65B2" w:rsidP="008D65B2">
      <w:pPr>
        <w:pStyle w:val="Odstavecseseznamem"/>
        <w:numPr>
          <w:ilvl w:val="0"/>
          <w:numId w:val="13"/>
        </w:numPr>
        <w:tabs>
          <w:tab w:val="clear" w:pos="851"/>
        </w:tabs>
        <w:spacing w:after="200" w:line="276" w:lineRule="auto"/>
        <w:contextualSpacing w:val="0"/>
        <w:jc w:val="both"/>
        <w:rPr>
          <w:rFonts w:ascii="Calibri" w:hAnsi="Calibri" w:cs="Calibri"/>
          <w:u w:val="single"/>
        </w:rPr>
      </w:pPr>
      <w:r w:rsidRPr="00A14B32">
        <w:rPr>
          <w:rFonts w:ascii="Calibri" w:hAnsi="Calibri" w:cs="Calibri"/>
          <w:u w:val="single"/>
        </w:rPr>
        <w:t xml:space="preserve">1. List (Uchazeč): </w:t>
      </w:r>
    </w:p>
    <w:p w:rsidR="008D65B2" w:rsidRPr="00A14B32" w:rsidRDefault="008D65B2" w:rsidP="008D65B2">
      <w:pPr>
        <w:pStyle w:val="Odstavecseseznamem"/>
        <w:tabs>
          <w:tab w:val="clear" w:pos="851"/>
        </w:tabs>
        <w:spacing w:after="200" w:line="276" w:lineRule="auto"/>
        <w:ind w:left="360"/>
        <w:contextualSpacing w:val="0"/>
        <w:jc w:val="both"/>
        <w:rPr>
          <w:rFonts w:ascii="Calibri" w:hAnsi="Calibri" w:cs="Calibri"/>
        </w:rPr>
      </w:pPr>
      <w:r w:rsidRPr="00A14B32">
        <w:rPr>
          <w:rFonts w:ascii="Calibri" w:hAnsi="Calibri" w:cs="Calibri"/>
        </w:rPr>
        <w:t xml:space="preserve">Vymezení </w:t>
      </w:r>
      <w:r w:rsidR="00321CC2">
        <w:rPr>
          <w:rFonts w:ascii="Calibri" w:hAnsi="Calibri" w:cs="Calibri"/>
        </w:rPr>
        <w:t xml:space="preserve"> Veřejné zakázky. </w:t>
      </w:r>
      <w:r w:rsidRPr="005732FE">
        <w:rPr>
          <w:rFonts w:ascii="Calibri" w:hAnsi="Calibri" w:cs="Calibri"/>
          <w:b/>
        </w:rPr>
        <w:t>Uchazeč vyplní identifikační údaje do vyznačených polí.</w:t>
      </w:r>
    </w:p>
    <w:p w:rsidR="008D65B2" w:rsidRPr="00A14B32" w:rsidRDefault="008D65B2" w:rsidP="008D65B2">
      <w:pPr>
        <w:pStyle w:val="Odstavecseseznamem"/>
        <w:numPr>
          <w:ilvl w:val="0"/>
          <w:numId w:val="13"/>
        </w:numPr>
        <w:tabs>
          <w:tab w:val="clear" w:pos="851"/>
        </w:tabs>
        <w:spacing w:after="200" w:line="276" w:lineRule="auto"/>
        <w:contextualSpacing w:val="0"/>
        <w:jc w:val="both"/>
        <w:rPr>
          <w:rFonts w:ascii="Calibri" w:hAnsi="Calibri" w:cs="Calibri"/>
          <w:u w:val="single"/>
        </w:rPr>
      </w:pPr>
      <w:r w:rsidRPr="00A14B32">
        <w:rPr>
          <w:rFonts w:ascii="Calibri" w:hAnsi="Calibri" w:cs="Calibri"/>
          <w:u w:val="single"/>
        </w:rPr>
        <w:t xml:space="preserve">2. List (Mapa): </w:t>
      </w:r>
    </w:p>
    <w:p w:rsidR="008D65B2" w:rsidRPr="005732FE" w:rsidRDefault="008D65B2" w:rsidP="008D65B2">
      <w:pPr>
        <w:pStyle w:val="Odstavecseseznamem"/>
        <w:tabs>
          <w:tab w:val="clear" w:pos="851"/>
        </w:tabs>
        <w:spacing w:after="200" w:line="276" w:lineRule="auto"/>
        <w:ind w:left="360"/>
        <w:contextualSpacing w:val="0"/>
        <w:jc w:val="both"/>
        <w:rPr>
          <w:rFonts w:ascii="Calibri" w:hAnsi="Calibri" w:cs="Calibri"/>
        </w:rPr>
      </w:pPr>
      <w:r w:rsidRPr="00A14B32">
        <w:rPr>
          <w:rFonts w:ascii="Calibri" w:hAnsi="Calibri" w:cs="Calibri"/>
        </w:rPr>
        <w:t xml:space="preserve">Mapa znázorňuje </w:t>
      </w:r>
      <w:r w:rsidR="00321CC2">
        <w:rPr>
          <w:rFonts w:ascii="Calibri" w:hAnsi="Calibri" w:cs="Calibri"/>
        </w:rPr>
        <w:t xml:space="preserve">linky dopravního systému </w:t>
      </w:r>
      <w:r w:rsidRPr="00A14B32">
        <w:rPr>
          <w:rFonts w:ascii="Calibri" w:hAnsi="Calibri" w:cs="Calibri"/>
        </w:rPr>
        <w:t>I</w:t>
      </w:r>
      <w:r w:rsidR="00321CC2">
        <w:rPr>
          <w:rFonts w:ascii="Calibri" w:hAnsi="Calibri" w:cs="Calibri"/>
        </w:rPr>
        <w:t>REDO</w:t>
      </w:r>
      <w:r w:rsidRPr="00A14B32">
        <w:rPr>
          <w:rFonts w:ascii="Calibri" w:hAnsi="Calibri" w:cs="Calibri"/>
        </w:rPr>
        <w:t xml:space="preserve">, </w:t>
      </w:r>
      <w:r w:rsidR="00321CC2">
        <w:rPr>
          <w:rFonts w:ascii="Calibri" w:hAnsi="Calibri" w:cs="Calibri"/>
        </w:rPr>
        <w:t xml:space="preserve">které odpovídají zadání podle Zadávací dokumentace dle aktuálních jízdních řádů. Linky, ani jejich vedení nejsou zadavatelem po dobu trvání zakázky garantovány. Zadání se vztahuje pouze k počátkům oběhů v tarifní zóně Litomyšl (zóna je ohraničena katastrálním územím obce). </w:t>
      </w:r>
      <w:r w:rsidRPr="00A14B32">
        <w:rPr>
          <w:rFonts w:ascii="Calibri" w:hAnsi="Calibri" w:cs="Calibri"/>
        </w:rPr>
        <w:t xml:space="preserve">Oběhy vozidel vypracovává pro účely stanovení parametrů zadání zakázky a každé další změny Zadavatel. </w:t>
      </w:r>
      <w:r w:rsidRPr="005732FE">
        <w:rPr>
          <w:rFonts w:ascii="Calibri" w:hAnsi="Calibri" w:cs="Calibri"/>
          <w:b/>
        </w:rPr>
        <w:t>Uchazeč na tomto listu nevyplňuje žádné údaje.</w:t>
      </w:r>
    </w:p>
    <w:p w:rsidR="008D65B2" w:rsidRPr="00A14B32" w:rsidRDefault="008D65B2" w:rsidP="008D65B2">
      <w:pPr>
        <w:pStyle w:val="Odstavecseseznamem"/>
        <w:numPr>
          <w:ilvl w:val="0"/>
          <w:numId w:val="13"/>
        </w:numPr>
        <w:tabs>
          <w:tab w:val="clear" w:pos="851"/>
        </w:tabs>
        <w:spacing w:after="200" w:line="276" w:lineRule="auto"/>
        <w:contextualSpacing w:val="0"/>
        <w:jc w:val="both"/>
        <w:rPr>
          <w:rFonts w:ascii="Calibri" w:hAnsi="Calibri" w:cs="Calibri"/>
          <w:u w:val="single"/>
        </w:rPr>
      </w:pPr>
      <w:r w:rsidRPr="00A14B32">
        <w:rPr>
          <w:rFonts w:ascii="Calibri" w:hAnsi="Calibri" w:cs="Calibri"/>
          <w:u w:val="single"/>
        </w:rPr>
        <w:t>3. List (</w:t>
      </w:r>
      <w:r w:rsidR="008E178C">
        <w:rPr>
          <w:rFonts w:ascii="Calibri" w:hAnsi="Calibri" w:cs="Calibri"/>
          <w:u w:val="single"/>
          <w:lang w:val="cs-CZ"/>
        </w:rPr>
        <w:t>Provozní hodnoty</w:t>
      </w:r>
      <w:r w:rsidRPr="00A14B32">
        <w:rPr>
          <w:rFonts w:ascii="Calibri" w:hAnsi="Calibri" w:cs="Calibri"/>
          <w:u w:val="single"/>
        </w:rPr>
        <w:t xml:space="preserve">): </w:t>
      </w:r>
    </w:p>
    <w:p w:rsidR="008D65B2" w:rsidRPr="00A14B32" w:rsidRDefault="008D65B2" w:rsidP="008D65B2">
      <w:pPr>
        <w:pStyle w:val="Odstavecseseznamem"/>
        <w:tabs>
          <w:tab w:val="clear" w:pos="851"/>
        </w:tabs>
        <w:spacing w:after="200" w:line="276" w:lineRule="auto"/>
        <w:ind w:left="360"/>
        <w:contextualSpacing w:val="0"/>
        <w:jc w:val="both"/>
        <w:rPr>
          <w:rFonts w:ascii="Calibri" w:hAnsi="Calibri" w:cs="Calibri"/>
        </w:rPr>
      </w:pPr>
      <w:r w:rsidRPr="00A14B32">
        <w:rPr>
          <w:rFonts w:ascii="Calibri" w:hAnsi="Calibri" w:cs="Calibri"/>
        </w:rPr>
        <w:t xml:space="preserve">Obsahuje údaje k vypracování </w:t>
      </w:r>
      <w:r>
        <w:rPr>
          <w:rFonts w:ascii="Calibri" w:hAnsi="Calibri" w:cs="Calibri"/>
        </w:rPr>
        <w:t>nabídkové ceny</w:t>
      </w:r>
      <w:r w:rsidRPr="00A14B32">
        <w:rPr>
          <w:rFonts w:ascii="Calibri" w:hAnsi="Calibri" w:cs="Calibri"/>
        </w:rPr>
        <w:t>, tzn. počty vozidel podle kategorií, dopravní výkon přepočtený na 1 rok provozu a další údaje pro stanovení nabídkové ceny v položkách dle předchozího textu</w:t>
      </w:r>
      <w:r>
        <w:rPr>
          <w:rFonts w:ascii="Calibri" w:hAnsi="Calibri" w:cs="Calibri"/>
        </w:rPr>
        <w:t xml:space="preserve"> (viz </w:t>
      </w:r>
      <w:r w:rsidRPr="00321CC2">
        <w:rPr>
          <w:rFonts w:ascii="Calibri" w:hAnsi="Calibri" w:cs="Calibri"/>
          <w:highlight w:val="yellow"/>
        </w:rPr>
        <w:t>Příloha č. 5 Zadávací dokumentace</w:t>
      </w:r>
      <w:r>
        <w:rPr>
          <w:rFonts w:ascii="Calibri" w:hAnsi="Calibri" w:cs="Calibri"/>
        </w:rPr>
        <w:t>)</w:t>
      </w:r>
      <w:r w:rsidRPr="00A14B32">
        <w:rPr>
          <w:rFonts w:ascii="Calibri" w:hAnsi="Calibri" w:cs="Calibri"/>
        </w:rPr>
        <w:t>.</w:t>
      </w:r>
      <w:r w:rsidRPr="00497355">
        <w:rPr>
          <w:rFonts w:ascii="Calibri" w:hAnsi="Calibri" w:cs="Calibri"/>
          <w:b/>
        </w:rPr>
        <w:t xml:space="preserve"> </w:t>
      </w:r>
      <w:r w:rsidRPr="008815C0">
        <w:rPr>
          <w:rFonts w:ascii="Calibri" w:hAnsi="Calibri" w:cs="Calibri"/>
          <w:b/>
        </w:rPr>
        <w:t>Uchazeč na tomto listu nevyplňuje žádné údaje</w:t>
      </w:r>
      <w:r>
        <w:rPr>
          <w:rFonts w:ascii="Calibri" w:hAnsi="Calibri" w:cs="Calibri"/>
          <w:b/>
        </w:rPr>
        <w:t>.</w:t>
      </w:r>
    </w:p>
    <w:p w:rsidR="008D65B2" w:rsidRPr="00A14B32" w:rsidRDefault="008D65B2" w:rsidP="008D65B2">
      <w:pPr>
        <w:pStyle w:val="Odstavecseseznamem"/>
        <w:numPr>
          <w:ilvl w:val="0"/>
          <w:numId w:val="13"/>
        </w:numPr>
        <w:tabs>
          <w:tab w:val="clear" w:pos="851"/>
        </w:tabs>
        <w:spacing w:after="200" w:line="276" w:lineRule="auto"/>
        <w:contextualSpacing w:val="0"/>
        <w:jc w:val="both"/>
        <w:rPr>
          <w:rFonts w:ascii="Calibri" w:hAnsi="Calibri" w:cs="Calibri"/>
        </w:rPr>
      </w:pPr>
      <w:r w:rsidRPr="00A14B32">
        <w:rPr>
          <w:rFonts w:ascii="Calibri" w:hAnsi="Calibri" w:cs="Calibri"/>
          <w:u w:val="single"/>
        </w:rPr>
        <w:t>4. List (Kategorie vozidel):</w:t>
      </w:r>
    </w:p>
    <w:p w:rsidR="008D65B2" w:rsidRPr="00A14B32" w:rsidRDefault="008D65B2" w:rsidP="008D65B2">
      <w:pPr>
        <w:pStyle w:val="Odstavecseseznamem"/>
        <w:tabs>
          <w:tab w:val="clear" w:pos="851"/>
        </w:tabs>
        <w:spacing w:after="200" w:line="276" w:lineRule="auto"/>
        <w:ind w:left="360"/>
        <w:contextualSpacing w:val="0"/>
        <w:jc w:val="both"/>
        <w:rPr>
          <w:rFonts w:ascii="Calibri" w:hAnsi="Calibri" w:cs="Calibri"/>
        </w:rPr>
      </w:pPr>
      <w:r w:rsidRPr="00A14B32">
        <w:rPr>
          <w:rFonts w:ascii="Calibri" w:hAnsi="Calibri" w:cs="Calibri"/>
        </w:rPr>
        <w:lastRenderedPageBreak/>
        <w:t>V tabulce jsou uvedeny kategorie vozidel, jejich počet a předpokládaný roční výkon v km</w:t>
      </w:r>
      <w:r w:rsidR="00C03F30">
        <w:rPr>
          <w:rFonts w:ascii="Calibri" w:hAnsi="Calibri" w:cs="Calibri"/>
        </w:rPr>
        <w:t>.</w:t>
      </w:r>
      <w:r w:rsidRPr="00A14B32">
        <w:rPr>
          <w:rFonts w:ascii="Calibri" w:hAnsi="Calibri" w:cs="Calibri"/>
        </w:rPr>
        <w:t xml:space="preserve"> Počty míst ve vozidlech k sezení a stání jsou minimálními hodnotami, které musí každé vozidlo v příslušné kategorii splnit. </w:t>
      </w:r>
      <w:r w:rsidRPr="00093853">
        <w:rPr>
          <w:rFonts w:ascii="Calibri" w:hAnsi="Calibri" w:cs="Calibri"/>
          <w:b/>
        </w:rPr>
        <w:t xml:space="preserve">Uchazeč doplní </w:t>
      </w:r>
      <w:r w:rsidRPr="00A14B32">
        <w:rPr>
          <w:rFonts w:ascii="Calibri" w:hAnsi="Calibri" w:cs="Calibri"/>
          <w:b/>
        </w:rPr>
        <w:t xml:space="preserve">pouze </w:t>
      </w:r>
      <w:r w:rsidRPr="00093853">
        <w:rPr>
          <w:rFonts w:ascii="Calibri" w:hAnsi="Calibri" w:cs="Calibri"/>
          <w:b/>
        </w:rPr>
        <w:t xml:space="preserve">údaje </w:t>
      </w:r>
      <w:r>
        <w:rPr>
          <w:rFonts w:ascii="Calibri" w:hAnsi="Calibri" w:cs="Calibri"/>
          <w:b/>
        </w:rPr>
        <w:t>do</w:t>
      </w:r>
      <w:r w:rsidRPr="00093853">
        <w:rPr>
          <w:rFonts w:ascii="Calibri" w:hAnsi="Calibri" w:cs="Calibri"/>
          <w:b/>
        </w:rPr>
        <w:t> bílých polí</w:t>
      </w:r>
      <w:r>
        <w:rPr>
          <w:rFonts w:ascii="Calibri" w:hAnsi="Calibri" w:cs="Calibri"/>
          <w:b/>
        </w:rPr>
        <w:t xml:space="preserve"> tabulky</w:t>
      </w:r>
      <w:r>
        <w:rPr>
          <w:rFonts w:ascii="Calibri" w:hAnsi="Calibri" w:cs="Calibri"/>
        </w:rPr>
        <w:t>:</w:t>
      </w:r>
      <w:r w:rsidRPr="00A14B32">
        <w:rPr>
          <w:rFonts w:ascii="Calibri" w:hAnsi="Calibri" w:cs="Calibri"/>
        </w:rPr>
        <w:t xml:space="preserve">   </w:t>
      </w:r>
    </w:p>
    <w:p w:rsidR="008D65B2" w:rsidRPr="00A14B32" w:rsidRDefault="008D65B2" w:rsidP="008D65B2">
      <w:pPr>
        <w:numPr>
          <w:ilvl w:val="0"/>
          <w:numId w:val="14"/>
        </w:numPr>
        <w:jc w:val="both"/>
        <w:rPr>
          <w:rFonts w:cs="Calibri"/>
        </w:rPr>
      </w:pPr>
      <w:r w:rsidRPr="00093853">
        <w:rPr>
          <w:rFonts w:cs="Calibri"/>
          <w:u w:val="single"/>
        </w:rPr>
        <w:t>Hodnota (P)</w:t>
      </w:r>
      <w:r w:rsidRPr="00A14B32">
        <w:rPr>
          <w:rFonts w:cs="Calibri"/>
        </w:rPr>
        <w:t xml:space="preserve"> v tabulce jsou náklady na pohonné hmoty přepočtené podle spotřeby a referenční ceny na jeden km ujetý vozidlem příslušné kategorie (</w:t>
      </w:r>
      <w:proofErr w:type="spellStart"/>
      <w:r w:rsidRPr="00A14B32">
        <w:rPr>
          <w:rFonts w:cs="Calibri"/>
        </w:rPr>
        <w:t>vozokm</w:t>
      </w:r>
      <w:proofErr w:type="spellEnd"/>
      <w:r w:rsidRPr="00A14B32">
        <w:rPr>
          <w:rFonts w:cs="Calibri"/>
        </w:rPr>
        <w:t xml:space="preserve">). Referenční cena pro účely výpočtu nákladů je 30,- Kč/l bez DPH. Tato cena bude v dalším období aktualizována poměrově podle ceny v době aktualizace vzhledem k referenční ceně. </w:t>
      </w:r>
      <w:r w:rsidR="00291CB6">
        <w:rPr>
          <w:rFonts w:cs="Calibri"/>
        </w:rPr>
        <w:t xml:space="preserve">Pro poměrové změny ceny pohonných hmot je </w:t>
      </w:r>
      <w:r w:rsidR="00633477">
        <w:rPr>
          <w:rFonts w:cs="Calibri"/>
        </w:rPr>
        <w:t>určující</w:t>
      </w:r>
      <w:r w:rsidR="00291CB6">
        <w:rPr>
          <w:rFonts w:cs="Calibri"/>
        </w:rPr>
        <w:t xml:space="preserve"> cenou cena motorové nafty ve výši podle statistiky ČSÚ.</w:t>
      </w:r>
    </w:p>
    <w:p w:rsidR="008D65B2" w:rsidRPr="00A14B32" w:rsidRDefault="008D65B2" w:rsidP="008D65B2">
      <w:pPr>
        <w:numPr>
          <w:ilvl w:val="0"/>
          <w:numId w:val="14"/>
        </w:numPr>
        <w:jc w:val="both"/>
        <w:rPr>
          <w:rFonts w:cs="Calibri"/>
        </w:rPr>
      </w:pPr>
      <w:r w:rsidRPr="00A14B32">
        <w:rPr>
          <w:rFonts w:cs="Calibri"/>
          <w:u w:val="single"/>
        </w:rPr>
        <w:t>Ostatní variabilní náklady (O</w:t>
      </w:r>
      <w:r w:rsidRPr="00A14B32">
        <w:rPr>
          <w:rFonts w:cs="Calibri"/>
        </w:rPr>
        <w:t xml:space="preserve">) jsou závislé na dopravním výkonu. Obsahují materiálové náklady a nakupované služby spojené s provozem a údržbou vozidel, mzdy za přímý výkon práce řidičů, příslušné sociální a zdravotní pojištění, přepočtené na 1km. </w:t>
      </w:r>
    </w:p>
    <w:p w:rsidR="008D65B2" w:rsidRPr="00A14B32" w:rsidRDefault="008D65B2" w:rsidP="008D65B2">
      <w:pPr>
        <w:numPr>
          <w:ilvl w:val="0"/>
          <w:numId w:val="14"/>
        </w:numPr>
        <w:jc w:val="both"/>
        <w:rPr>
          <w:rFonts w:cs="Calibri"/>
        </w:rPr>
      </w:pPr>
      <w:r w:rsidRPr="00A14B32">
        <w:rPr>
          <w:rFonts w:cs="Calibri"/>
          <w:u w:val="single"/>
        </w:rPr>
        <w:t>Náklady na provoz vozidel (B)</w:t>
      </w:r>
      <w:r w:rsidRPr="00A14B32">
        <w:rPr>
          <w:rFonts w:cs="Calibri"/>
        </w:rPr>
        <w:t xml:space="preserve"> obsahují fixní náklady spojené s pořízením a provozem vozidel (odpisy, případně pronájem vozidel včetně příslušenství, např. odbavovacího zařízení, pojištění spojené s provozem vozidel a další náklady závislé na počtu vozidel.) [Jednotka: Kč/období]</w:t>
      </w:r>
      <w:r w:rsidR="0014189E">
        <w:rPr>
          <w:rFonts w:cs="Calibri"/>
        </w:rPr>
        <w:t xml:space="preserve"> </w:t>
      </w:r>
    </w:p>
    <w:p w:rsidR="008D65B2" w:rsidRDefault="008D65B2" w:rsidP="008D65B2">
      <w:pPr>
        <w:pStyle w:val="Odstavecseseznamem"/>
        <w:tabs>
          <w:tab w:val="clear" w:pos="851"/>
        </w:tabs>
        <w:spacing w:after="200" w:line="276" w:lineRule="auto"/>
        <w:ind w:left="360"/>
        <w:contextualSpacing w:val="0"/>
        <w:jc w:val="both"/>
        <w:rPr>
          <w:rFonts w:ascii="Calibri" w:hAnsi="Calibri" w:cs="Calibri"/>
        </w:rPr>
      </w:pPr>
      <w:r w:rsidRPr="00A14B32">
        <w:rPr>
          <w:rFonts w:ascii="Calibri" w:hAnsi="Calibri" w:cs="Calibri"/>
        </w:rPr>
        <w:t xml:space="preserve">O zařazení jednotlivých nákladů do složek ceny dopravního výkonu rozhoduje uchazeč. V případě, že některá z nabídnutých položek bude vybočovat z obvyklých hodnot, bude uchazeč vyzván k předložení podrobného finančního modelu v rozsahu dle přílohy č. 2 k vyhlášce č. 296/2010 Sb., v členění podle složek Ceny dopravního výkonu, případně i k doložení uvedených hodnot.  </w:t>
      </w:r>
    </w:p>
    <w:p w:rsidR="008D65B2" w:rsidRPr="005732FE" w:rsidRDefault="008D65B2" w:rsidP="008D65B2">
      <w:pPr>
        <w:pStyle w:val="Odstavecseseznamem"/>
        <w:tabs>
          <w:tab w:val="clear" w:pos="851"/>
        </w:tabs>
        <w:spacing w:after="200" w:line="276" w:lineRule="auto"/>
        <w:ind w:left="360"/>
        <w:contextualSpacing w:val="0"/>
        <w:jc w:val="both"/>
        <w:rPr>
          <w:rFonts w:ascii="Calibri" w:hAnsi="Calibri" w:cs="Calibri"/>
          <w:b/>
        </w:rPr>
      </w:pPr>
      <w:r w:rsidRPr="005732FE">
        <w:rPr>
          <w:rFonts w:ascii="Calibri" w:hAnsi="Calibri" w:cs="Calibri"/>
          <w:b/>
        </w:rPr>
        <w:t>Veškeré hodnoty – cena pohonných hmot, náklady, apod. jsou vždy uváděny bez DPH!</w:t>
      </w:r>
    </w:p>
    <w:p w:rsidR="008D65B2" w:rsidRPr="00A14B32" w:rsidRDefault="008D65B2" w:rsidP="008D65B2">
      <w:pPr>
        <w:pStyle w:val="Odstavecseseznamem"/>
        <w:numPr>
          <w:ilvl w:val="0"/>
          <w:numId w:val="13"/>
        </w:numPr>
        <w:tabs>
          <w:tab w:val="clear" w:pos="851"/>
        </w:tabs>
        <w:spacing w:after="200" w:line="276" w:lineRule="auto"/>
        <w:contextualSpacing w:val="0"/>
        <w:jc w:val="both"/>
        <w:rPr>
          <w:rFonts w:ascii="Calibri" w:hAnsi="Calibri" w:cs="Calibri"/>
          <w:u w:val="single"/>
        </w:rPr>
      </w:pPr>
      <w:r w:rsidRPr="00A14B32">
        <w:rPr>
          <w:rFonts w:ascii="Calibri" w:hAnsi="Calibri" w:cs="Calibri"/>
          <w:u w:val="single"/>
        </w:rPr>
        <w:t xml:space="preserve">5. List (Nabídková cena): </w:t>
      </w:r>
    </w:p>
    <w:p w:rsidR="008D65B2" w:rsidRDefault="008D65B2" w:rsidP="008D65B2">
      <w:pPr>
        <w:pStyle w:val="Odstavecseseznamem"/>
        <w:tabs>
          <w:tab w:val="clear" w:pos="851"/>
        </w:tabs>
        <w:spacing w:after="200" w:line="276" w:lineRule="auto"/>
        <w:ind w:left="360"/>
        <w:contextualSpacing w:val="0"/>
        <w:jc w:val="both"/>
        <w:rPr>
          <w:rFonts w:ascii="Calibri" w:hAnsi="Calibri" w:cs="Calibri"/>
        </w:rPr>
      </w:pPr>
      <w:r w:rsidRPr="005732FE">
        <w:rPr>
          <w:rFonts w:ascii="Calibri" w:hAnsi="Calibri" w:cs="Calibri"/>
          <w:b/>
        </w:rPr>
        <w:t>Uchazeč doplní bílé pole o hodnotu (R), která obsahuje správní režie a kalkulovaný čistý příjem dopravce v Kč/rok.</w:t>
      </w:r>
      <w:r>
        <w:rPr>
          <w:rFonts w:ascii="Calibri" w:hAnsi="Calibri" w:cs="Calibri"/>
        </w:rPr>
        <w:t xml:space="preserve"> </w:t>
      </w:r>
    </w:p>
    <w:p w:rsidR="008D65B2" w:rsidRDefault="008D65B2" w:rsidP="008D65B2">
      <w:pPr>
        <w:pStyle w:val="Odstavecseseznamem"/>
        <w:tabs>
          <w:tab w:val="clear" w:pos="851"/>
        </w:tabs>
        <w:spacing w:after="200" w:line="276" w:lineRule="auto"/>
        <w:ind w:left="36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Program následně vypočte</w:t>
      </w:r>
      <w:r w:rsidRPr="00A14B32">
        <w:rPr>
          <w:rFonts w:ascii="Calibri" w:hAnsi="Calibri" w:cs="Calibri"/>
        </w:rPr>
        <w:t xml:space="preserve"> celkovou cenu dopravního výkonu za rok a za celou dobu plnění </w:t>
      </w:r>
      <w:r>
        <w:rPr>
          <w:rFonts w:ascii="Calibri" w:hAnsi="Calibri" w:cs="Calibri"/>
        </w:rPr>
        <w:t xml:space="preserve">Veřejné </w:t>
      </w:r>
      <w:r w:rsidRPr="00A14B32">
        <w:rPr>
          <w:rFonts w:ascii="Calibri" w:hAnsi="Calibri" w:cs="Calibri"/>
        </w:rPr>
        <w:t>zakázky v ceně bez DPH</w:t>
      </w:r>
      <w:r>
        <w:rPr>
          <w:rFonts w:ascii="Calibri" w:hAnsi="Calibri" w:cs="Calibri"/>
        </w:rPr>
        <w:t xml:space="preserve"> a taktéž nabídkovou cenu pro účely hodnocení, stejně jako jednotkovou nabídkovou cenu.</w:t>
      </w:r>
      <w:r w:rsidRPr="00A14B32">
        <w:rPr>
          <w:rFonts w:ascii="Calibri" w:hAnsi="Calibri" w:cs="Calibri"/>
        </w:rPr>
        <w:t xml:space="preserve"> </w:t>
      </w:r>
    </w:p>
    <w:p w:rsidR="002A78D2" w:rsidRDefault="008D65B2" w:rsidP="008D65B2">
      <w:r w:rsidRPr="005732FE">
        <w:rPr>
          <w:rFonts w:cs="Calibri"/>
          <w:b/>
        </w:rPr>
        <w:t>Uchazeč tento list po doplnění a vypočtení nabídkové ceny vytiskne a podepsaný přiloží k nabídce.</w:t>
      </w:r>
      <w:r w:rsidR="00493E7B" w:rsidRPr="008D65B2">
        <w:t xml:space="preserve"> </w:t>
      </w:r>
    </w:p>
    <w:p w:rsidR="001C3EC4" w:rsidRPr="00A14B32" w:rsidRDefault="001C3EC4" w:rsidP="001C3EC4">
      <w:pPr>
        <w:pStyle w:val="Odstavecseseznamem"/>
        <w:numPr>
          <w:ilvl w:val="0"/>
          <w:numId w:val="13"/>
        </w:numPr>
        <w:tabs>
          <w:tab w:val="clear" w:pos="851"/>
        </w:tabs>
        <w:spacing w:after="200" w:line="276" w:lineRule="auto"/>
        <w:contextualSpacing w:val="0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  <w:lang w:val="cs-CZ"/>
        </w:rPr>
        <w:t>6</w:t>
      </w:r>
      <w:r w:rsidRPr="00A14B32">
        <w:rPr>
          <w:rFonts w:ascii="Calibri" w:hAnsi="Calibri" w:cs="Calibri"/>
          <w:u w:val="single"/>
        </w:rPr>
        <w:t>. List (</w:t>
      </w:r>
      <w:r>
        <w:rPr>
          <w:rFonts w:ascii="Calibri" w:hAnsi="Calibri" w:cs="Calibri"/>
          <w:u w:val="single"/>
          <w:lang w:val="cs-CZ"/>
        </w:rPr>
        <w:t>Oběhy vozidel</w:t>
      </w:r>
      <w:r w:rsidRPr="00A14B32">
        <w:rPr>
          <w:rFonts w:ascii="Calibri" w:hAnsi="Calibri" w:cs="Calibri"/>
          <w:u w:val="single"/>
        </w:rPr>
        <w:t xml:space="preserve">): </w:t>
      </w:r>
    </w:p>
    <w:p w:rsidR="001C3EC4" w:rsidRPr="001C3EC4" w:rsidRDefault="001C3EC4" w:rsidP="001C3EC4">
      <w:pPr>
        <w:pStyle w:val="Odstavecseseznamem"/>
        <w:tabs>
          <w:tab w:val="clear" w:pos="851"/>
        </w:tabs>
        <w:spacing w:after="200" w:line="276" w:lineRule="auto"/>
        <w:ind w:left="36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cs-CZ"/>
        </w:rPr>
        <w:t>Oběhy vozidel jsou uvedeny jako doplňková informace o zdroji hodnot uvedených v předcházejícím textu Zadávací dokumentace, podle kterých bude Uchazeč vypracovávat nabídkovou cenu. Upozorňujeme, že ačkoliv jsou u</w:t>
      </w:r>
      <w:r w:rsidRPr="001C3EC4">
        <w:rPr>
          <w:rFonts w:ascii="Calibri" w:hAnsi="Calibri" w:cs="Calibri"/>
        </w:rPr>
        <w:t xml:space="preserve">vedené oběhy </w:t>
      </w:r>
      <w:r>
        <w:rPr>
          <w:rFonts w:ascii="Calibri" w:hAnsi="Calibri" w:cs="Calibri"/>
          <w:lang w:val="cs-CZ"/>
        </w:rPr>
        <w:t xml:space="preserve">v době zpracování Zadávací dokumentace </w:t>
      </w:r>
      <w:r w:rsidRPr="001C3EC4">
        <w:rPr>
          <w:rFonts w:ascii="Calibri" w:hAnsi="Calibri" w:cs="Calibri"/>
        </w:rPr>
        <w:t>předpokládány pro zahájení provozu</w:t>
      </w:r>
      <w:r>
        <w:rPr>
          <w:rFonts w:ascii="Calibri" w:hAnsi="Calibri" w:cs="Calibri"/>
          <w:lang w:val="cs-CZ"/>
        </w:rPr>
        <w:t>, mohou se d</w:t>
      </w:r>
      <w:r w:rsidRPr="001C3EC4">
        <w:rPr>
          <w:rFonts w:ascii="Calibri" w:hAnsi="Calibri" w:cs="Calibri"/>
        </w:rPr>
        <w:t xml:space="preserve">o doby zahájení provozu podle Smlouvy v závislosti na </w:t>
      </w:r>
      <w:r>
        <w:rPr>
          <w:rFonts w:ascii="Calibri" w:hAnsi="Calibri" w:cs="Calibri"/>
          <w:lang w:val="cs-CZ"/>
        </w:rPr>
        <w:t xml:space="preserve">měnících se </w:t>
      </w:r>
      <w:r w:rsidRPr="001C3EC4">
        <w:rPr>
          <w:rFonts w:ascii="Calibri" w:hAnsi="Calibri" w:cs="Calibri"/>
        </w:rPr>
        <w:t>přepravních potřebách dotčeného území. Vedení linek, ani časové polohy spojů nejsou Zadavatelem garantovány.</w:t>
      </w:r>
      <w:bookmarkStart w:id="1" w:name="_GoBack"/>
      <w:bookmarkEnd w:id="1"/>
    </w:p>
    <w:sectPr w:rsidR="001C3EC4" w:rsidRPr="001C3EC4" w:rsidSect="00493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E7A" w:rsidRDefault="00A61E7A" w:rsidP="008E25FF">
      <w:pPr>
        <w:spacing w:after="0" w:line="240" w:lineRule="auto"/>
      </w:pPr>
      <w:r>
        <w:separator/>
      </w:r>
    </w:p>
  </w:endnote>
  <w:endnote w:type="continuationSeparator" w:id="0">
    <w:p w:rsidR="00A61E7A" w:rsidRDefault="00A61E7A" w:rsidP="008E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E7A" w:rsidRDefault="00A61E7A" w:rsidP="008E25FF">
      <w:pPr>
        <w:spacing w:after="0" w:line="240" w:lineRule="auto"/>
      </w:pPr>
      <w:r>
        <w:separator/>
      </w:r>
    </w:p>
  </w:footnote>
  <w:footnote w:type="continuationSeparator" w:id="0">
    <w:p w:rsidR="00A61E7A" w:rsidRDefault="00A61E7A" w:rsidP="008E2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800"/>
    <w:multiLevelType w:val="hybridMultilevel"/>
    <w:tmpl w:val="75EA1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F0E8C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2F0CA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1AF6A8F"/>
    <w:multiLevelType w:val="hybridMultilevel"/>
    <w:tmpl w:val="7BA602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2BE0766C"/>
    <w:multiLevelType w:val="hybridMultilevel"/>
    <w:tmpl w:val="C9205CAE"/>
    <w:lvl w:ilvl="0" w:tplc="00000001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5241B0"/>
    <w:multiLevelType w:val="multilevel"/>
    <w:tmpl w:val="A2DA35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C43709"/>
    <w:multiLevelType w:val="hybridMultilevel"/>
    <w:tmpl w:val="3AD20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41686"/>
    <w:multiLevelType w:val="hybridMultilevel"/>
    <w:tmpl w:val="71CCFD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C79BC"/>
    <w:multiLevelType w:val="hybridMultilevel"/>
    <w:tmpl w:val="DE9ED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E7720C"/>
    <w:multiLevelType w:val="multilevel"/>
    <w:tmpl w:val="828A60C6"/>
    <w:lvl w:ilvl="0">
      <w:start w:val="1"/>
      <w:numFmt w:val="decimal"/>
      <w:pStyle w:val="mjstyl1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CBE2BCE"/>
    <w:multiLevelType w:val="multilevel"/>
    <w:tmpl w:val="CAD622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"/>
  </w:num>
  <w:num w:numId="7">
    <w:abstractNumId w:val="2"/>
  </w:num>
  <w:num w:numId="8">
    <w:abstractNumId w:val="12"/>
  </w:num>
  <w:num w:numId="9">
    <w:abstractNumId w:val="6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FF"/>
    <w:rsid w:val="000644A9"/>
    <w:rsid w:val="0010480C"/>
    <w:rsid w:val="0014189E"/>
    <w:rsid w:val="00144495"/>
    <w:rsid w:val="001C3EC4"/>
    <w:rsid w:val="00216AD4"/>
    <w:rsid w:val="00287E07"/>
    <w:rsid w:val="00291CB6"/>
    <w:rsid w:val="00294792"/>
    <w:rsid w:val="002A78D2"/>
    <w:rsid w:val="00311D57"/>
    <w:rsid w:val="00321CC2"/>
    <w:rsid w:val="00374DED"/>
    <w:rsid w:val="00380E2A"/>
    <w:rsid w:val="003E1121"/>
    <w:rsid w:val="00465DAD"/>
    <w:rsid w:val="00493E7B"/>
    <w:rsid w:val="004A2A13"/>
    <w:rsid w:val="0052425B"/>
    <w:rsid w:val="00576A05"/>
    <w:rsid w:val="005D54B9"/>
    <w:rsid w:val="00622773"/>
    <w:rsid w:val="00633477"/>
    <w:rsid w:val="00742533"/>
    <w:rsid w:val="00746BB1"/>
    <w:rsid w:val="00772733"/>
    <w:rsid w:val="007D2168"/>
    <w:rsid w:val="008C260C"/>
    <w:rsid w:val="008D65B2"/>
    <w:rsid w:val="008E178C"/>
    <w:rsid w:val="008E25FF"/>
    <w:rsid w:val="008F05A5"/>
    <w:rsid w:val="009940A0"/>
    <w:rsid w:val="009A5031"/>
    <w:rsid w:val="009B0CED"/>
    <w:rsid w:val="009F2ECF"/>
    <w:rsid w:val="00A330A4"/>
    <w:rsid w:val="00A61E7A"/>
    <w:rsid w:val="00A743E2"/>
    <w:rsid w:val="00AC5FCA"/>
    <w:rsid w:val="00BD4476"/>
    <w:rsid w:val="00C03F30"/>
    <w:rsid w:val="00C1472E"/>
    <w:rsid w:val="00C36BF5"/>
    <w:rsid w:val="00C51E38"/>
    <w:rsid w:val="00CF2AF2"/>
    <w:rsid w:val="00D8284F"/>
    <w:rsid w:val="00EA4687"/>
    <w:rsid w:val="00EC1E20"/>
    <w:rsid w:val="00F94F03"/>
    <w:rsid w:val="00F958B5"/>
    <w:rsid w:val="00FA251F"/>
    <w:rsid w:val="00FA56AB"/>
    <w:rsid w:val="00FD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lang w:val="x-none" w:eastAsia="ar-SA"/>
    </w:rPr>
  </w:style>
  <w:style w:type="paragraph" w:styleId="Nadpis2">
    <w:name w:val="heading 2"/>
    <w:basedOn w:val="Normln"/>
    <w:next w:val="Normln"/>
    <w:link w:val="Nadpis2Char"/>
    <w:autoRedefine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u w:val="single"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493E7B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styleId="Odkaznakoment">
    <w:name w:val="annotation reference"/>
    <w:uiPriority w:val="99"/>
    <w:rsid w:val="00FA2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5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93E7B"/>
    <w:rPr>
      <w:rFonts w:ascii="Calibri" w:eastAsia="Times New Roman" w:hAnsi="Calibri" w:cs="Times New Roman"/>
      <w:b/>
      <w:caps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493E7B"/>
    <w:rPr>
      <w:rFonts w:ascii="Calibri" w:eastAsia="Times New Roman" w:hAnsi="Calibri" w:cs="Times New Roman"/>
      <w:u w:val="single"/>
      <w:lang w:val="x-none" w:eastAsia="ar-SA"/>
    </w:rPr>
  </w:style>
  <w:style w:type="character" w:customStyle="1" w:styleId="Nadpis3Char">
    <w:name w:val="Nadpis 3 Char"/>
    <w:basedOn w:val="Standardnpsmoodstavce"/>
    <w:link w:val="Nadpis3"/>
    <w:rsid w:val="00493E7B"/>
    <w:rPr>
      <w:rFonts w:ascii="NimbusSanNovTEE" w:eastAsia="Times New Roman" w:hAnsi="NimbusSanNovTEE" w:cs="Times New Roman"/>
      <w:b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493E7B"/>
    <w:rPr>
      <w:rFonts w:ascii="NimbusSanNovTEE" w:eastAsia="Times New Roman" w:hAnsi="NimbusSanNovTEE" w:cs="Times New Roman"/>
      <w:b/>
      <w:szCs w:val="20"/>
      <w:lang w:val="en-GB" w:eastAsia="x-none"/>
    </w:rPr>
  </w:style>
  <w:style w:type="character" w:customStyle="1" w:styleId="Nadpis5Char">
    <w:name w:val="Nadpis 5 Char"/>
    <w:basedOn w:val="Standardnpsmoodstavce"/>
    <w:link w:val="Nadpis5"/>
    <w:rsid w:val="00493E7B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493E7B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493E7B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493E7B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493E7B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customStyle="1" w:styleId="bh3">
    <w:name w:val="_bh3"/>
    <w:basedOn w:val="Normln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customStyle="1" w:styleId="mjstyl1">
    <w:name w:val="můj styl 1"/>
    <w:basedOn w:val="Odstavecseseznamem"/>
    <w:link w:val="mjstyl1Char"/>
    <w:qFormat/>
    <w:rsid w:val="008D65B2"/>
    <w:pPr>
      <w:numPr>
        <w:numId w:val="11"/>
      </w:numPr>
      <w:tabs>
        <w:tab w:val="clear" w:pos="851"/>
      </w:tabs>
      <w:spacing w:after="200" w:line="276" w:lineRule="auto"/>
    </w:pPr>
    <w:rPr>
      <w:rFonts w:ascii="Cambria" w:eastAsia="Cambria" w:hAnsi="Cambria"/>
      <w:b/>
      <w:bCs/>
      <w:caps/>
      <w:lang w:eastAsia="en-US"/>
    </w:rPr>
  </w:style>
  <w:style w:type="character" w:customStyle="1" w:styleId="mjstyl1Char">
    <w:name w:val="můj styl 1 Char"/>
    <w:link w:val="mjstyl1"/>
    <w:rsid w:val="008D65B2"/>
    <w:rPr>
      <w:rFonts w:ascii="Cambria" w:eastAsia="Cambria" w:hAnsi="Cambria" w:cs="Times New Roman"/>
      <w:b/>
      <w:bCs/>
      <w:caps/>
      <w:lang w:val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2AF2"/>
    <w:pPr>
      <w:spacing w:after="200"/>
    </w:pPr>
    <w:rPr>
      <w:rFonts w:ascii="Calibri" w:eastAsia="Calibri" w:hAnsi="Calibr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2AF2"/>
    <w:rPr>
      <w:rFonts w:ascii="Calibri" w:eastAsia="Calibri" w:hAnsi="Calibri" w:cs="Times New Roman"/>
      <w:b/>
      <w:bCs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lang w:val="x-none" w:eastAsia="ar-SA"/>
    </w:rPr>
  </w:style>
  <w:style w:type="paragraph" w:styleId="Nadpis2">
    <w:name w:val="heading 2"/>
    <w:basedOn w:val="Normln"/>
    <w:next w:val="Normln"/>
    <w:link w:val="Nadpis2Char"/>
    <w:autoRedefine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u w:val="single"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493E7B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styleId="Odkaznakoment">
    <w:name w:val="annotation reference"/>
    <w:uiPriority w:val="99"/>
    <w:rsid w:val="00FA2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5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93E7B"/>
    <w:rPr>
      <w:rFonts w:ascii="Calibri" w:eastAsia="Times New Roman" w:hAnsi="Calibri" w:cs="Times New Roman"/>
      <w:b/>
      <w:caps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493E7B"/>
    <w:rPr>
      <w:rFonts w:ascii="Calibri" w:eastAsia="Times New Roman" w:hAnsi="Calibri" w:cs="Times New Roman"/>
      <w:u w:val="single"/>
      <w:lang w:val="x-none" w:eastAsia="ar-SA"/>
    </w:rPr>
  </w:style>
  <w:style w:type="character" w:customStyle="1" w:styleId="Nadpis3Char">
    <w:name w:val="Nadpis 3 Char"/>
    <w:basedOn w:val="Standardnpsmoodstavce"/>
    <w:link w:val="Nadpis3"/>
    <w:rsid w:val="00493E7B"/>
    <w:rPr>
      <w:rFonts w:ascii="NimbusSanNovTEE" w:eastAsia="Times New Roman" w:hAnsi="NimbusSanNovTEE" w:cs="Times New Roman"/>
      <w:b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493E7B"/>
    <w:rPr>
      <w:rFonts w:ascii="NimbusSanNovTEE" w:eastAsia="Times New Roman" w:hAnsi="NimbusSanNovTEE" w:cs="Times New Roman"/>
      <w:b/>
      <w:szCs w:val="20"/>
      <w:lang w:val="en-GB" w:eastAsia="x-none"/>
    </w:rPr>
  </w:style>
  <w:style w:type="character" w:customStyle="1" w:styleId="Nadpis5Char">
    <w:name w:val="Nadpis 5 Char"/>
    <w:basedOn w:val="Standardnpsmoodstavce"/>
    <w:link w:val="Nadpis5"/>
    <w:rsid w:val="00493E7B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493E7B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493E7B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493E7B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493E7B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customStyle="1" w:styleId="bh3">
    <w:name w:val="_bh3"/>
    <w:basedOn w:val="Normln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customStyle="1" w:styleId="mjstyl1">
    <w:name w:val="můj styl 1"/>
    <w:basedOn w:val="Odstavecseseznamem"/>
    <w:link w:val="mjstyl1Char"/>
    <w:qFormat/>
    <w:rsid w:val="008D65B2"/>
    <w:pPr>
      <w:numPr>
        <w:numId w:val="11"/>
      </w:numPr>
      <w:tabs>
        <w:tab w:val="clear" w:pos="851"/>
      </w:tabs>
      <w:spacing w:after="200" w:line="276" w:lineRule="auto"/>
    </w:pPr>
    <w:rPr>
      <w:rFonts w:ascii="Cambria" w:eastAsia="Cambria" w:hAnsi="Cambria"/>
      <w:b/>
      <w:bCs/>
      <w:caps/>
      <w:lang w:eastAsia="en-US"/>
    </w:rPr>
  </w:style>
  <w:style w:type="character" w:customStyle="1" w:styleId="mjstyl1Char">
    <w:name w:val="můj styl 1 Char"/>
    <w:link w:val="mjstyl1"/>
    <w:rsid w:val="008D65B2"/>
    <w:rPr>
      <w:rFonts w:ascii="Cambria" w:eastAsia="Cambria" w:hAnsi="Cambria" w:cs="Times New Roman"/>
      <w:b/>
      <w:bCs/>
      <w:caps/>
      <w:lang w:val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2AF2"/>
    <w:pPr>
      <w:spacing w:after="200"/>
    </w:pPr>
    <w:rPr>
      <w:rFonts w:ascii="Calibri" w:eastAsia="Calibri" w:hAnsi="Calibr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2AF2"/>
    <w:rPr>
      <w:rFonts w:ascii="Calibri" w:eastAsia="Calibri" w:hAnsi="Calibri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DAA0A-8BFE-4A45-83DF-7529ACE97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1041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Heider</dc:creator>
  <cp:lastModifiedBy>SAM</cp:lastModifiedBy>
  <cp:revision>5</cp:revision>
  <dcterms:created xsi:type="dcterms:W3CDTF">2012-12-16T07:59:00Z</dcterms:created>
  <dcterms:modified xsi:type="dcterms:W3CDTF">2012-12-16T11:37:00Z</dcterms:modified>
</cp:coreProperties>
</file>