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F36854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F36854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F36854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DF051C" w:rsidRPr="00DF051C">
        <w:rPr>
          <w:rFonts w:ascii="Arial" w:hAnsi="Arial" w:cs="Arial"/>
          <w:b/>
          <w:color w:val="000000" w:themeColor="text1"/>
          <w:sz w:val="22"/>
          <w:szCs w:val="22"/>
        </w:rPr>
        <w:t>Střední škola potravinářství a služeb Pardubice - rekonstrukce elektroinstalace – III. etapa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575A63"/>
    <w:rsid w:val="005D0266"/>
    <w:rsid w:val="00653411"/>
    <w:rsid w:val="00787014"/>
    <w:rsid w:val="00830F55"/>
    <w:rsid w:val="00873111"/>
    <w:rsid w:val="00886A43"/>
    <w:rsid w:val="00AA46C8"/>
    <w:rsid w:val="00AF0530"/>
    <w:rsid w:val="00BB32D2"/>
    <w:rsid w:val="00C70544"/>
    <w:rsid w:val="00C804A6"/>
    <w:rsid w:val="00CF1971"/>
    <w:rsid w:val="00D504BD"/>
    <w:rsid w:val="00D83702"/>
    <w:rsid w:val="00DF051C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F8EB9-6CDB-48CC-9F49-00C33A97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admin</cp:lastModifiedBy>
  <cp:revision>12</cp:revision>
  <dcterms:created xsi:type="dcterms:W3CDTF">2012-08-08T08:56:00Z</dcterms:created>
  <dcterms:modified xsi:type="dcterms:W3CDTF">2013-06-12T06:22:00Z</dcterms:modified>
</cp:coreProperties>
</file>