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FF" w:rsidRPr="008033FF" w:rsidRDefault="008033FF" w:rsidP="008033FF">
      <w:pPr>
        <w:jc w:val="center"/>
        <w:rPr>
          <w:b/>
          <w:sz w:val="28"/>
          <w:szCs w:val="28"/>
        </w:rPr>
      </w:pPr>
      <w:r w:rsidRPr="008033FF">
        <w:rPr>
          <w:b/>
          <w:sz w:val="28"/>
          <w:szCs w:val="28"/>
        </w:rPr>
        <w:t xml:space="preserve">Informace o provozu a </w:t>
      </w:r>
      <w:r w:rsidRPr="008033FF">
        <w:rPr>
          <w:b/>
          <w:sz w:val="28"/>
          <w:szCs w:val="28"/>
        </w:rPr>
        <w:t>prostřed</w:t>
      </w:r>
      <w:r w:rsidRPr="008033FF">
        <w:rPr>
          <w:b/>
          <w:sz w:val="28"/>
          <w:szCs w:val="28"/>
        </w:rPr>
        <w:t>í</w:t>
      </w:r>
      <w:r w:rsidRPr="008033FF">
        <w:rPr>
          <w:b/>
          <w:sz w:val="28"/>
          <w:szCs w:val="28"/>
        </w:rPr>
        <w:t xml:space="preserve"> národní kulturní památky</w:t>
      </w:r>
      <w:r w:rsidRPr="008033FF">
        <w:rPr>
          <w:b/>
          <w:sz w:val="28"/>
          <w:szCs w:val="28"/>
        </w:rPr>
        <w:t xml:space="preserve"> zpracované </w:t>
      </w:r>
      <w:r w:rsidR="00057EA4">
        <w:rPr>
          <w:b/>
          <w:sz w:val="28"/>
          <w:szCs w:val="28"/>
        </w:rPr>
        <w:t>VČM</w:t>
      </w:r>
      <w:r w:rsidRPr="008033FF">
        <w:rPr>
          <w:b/>
          <w:sz w:val="28"/>
          <w:szCs w:val="28"/>
        </w:rPr>
        <w:t xml:space="preserve"> v Pardubicích</w:t>
      </w:r>
    </w:p>
    <w:p w:rsidR="008033FF" w:rsidRDefault="008033FF" w:rsidP="00EB5DA0">
      <w:pPr>
        <w:jc w:val="both"/>
      </w:pPr>
    </w:p>
    <w:p w:rsidR="0058577D" w:rsidRDefault="00BE6D2E" w:rsidP="00EB5DA0">
      <w:pPr>
        <w:jc w:val="both"/>
      </w:pPr>
      <w:r>
        <w:t xml:space="preserve">Realizace projektu </w:t>
      </w:r>
      <w:r w:rsidR="00EB5DA0">
        <w:t>„</w:t>
      </w:r>
      <w:r w:rsidR="0027544F">
        <w:t>Zámek Pardubice – využití zámeckých interiérů a exteriérů</w:t>
      </w:r>
      <w:r w:rsidR="001B157E">
        <w:t xml:space="preserve"> čp. 1 a č</w:t>
      </w:r>
      <w:r w:rsidR="00DD13F1">
        <w:t>p. 2</w:t>
      </w:r>
      <w:r w:rsidR="00EB5DA0">
        <w:t>“</w:t>
      </w:r>
      <w:r>
        <w:t xml:space="preserve"> </w:t>
      </w:r>
      <w:r w:rsidR="00DD13F1">
        <w:t>bude zásadně ovlivněna prostřed</w:t>
      </w:r>
      <w:r>
        <w:t xml:space="preserve">ím národní kulturní památky, </w:t>
      </w:r>
      <w:r w:rsidR="00EB5DA0">
        <w:t>prostorovou dispozicí uzavřeného areálu, provozem Východočeského muzea v</w:t>
      </w:r>
      <w:r w:rsidR="00C07859">
        <w:t> </w:t>
      </w:r>
      <w:r w:rsidR="00EB5DA0">
        <w:t>Pardubicích</w:t>
      </w:r>
      <w:r w:rsidR="00C07859">
        <w:t>,</w:t>
      </w:r>
      <w:r w:rsidR="00EB5DA0">
        <w:t xml:space="preserve"> </w:t>
      </w:r>
      <w:r w:rsidR="0058577D">
        <w:t xml:space="preserve">provozem </w:t>
      </w:r>
      <w:r w:rsidR="00EB5DA0">
        <w:t>Východočeské galerie</w:t>
      </w:r>
      <w:r>
        <w:t xml:space="preserve"> </w:t>
      </w:r>
      <w:r w:rsidR="00EB5DA0">
        <w:t>v</w:t>
      </w:r>
      <w:r w:rsidR="00C07859">
        <w:t> </w:t>
      </w:r>
      <w:r w:rsidR="00EB5DA0">
        <w:t>Pardubicích</w:t>
      </w:r>
      <w:r w:rsidR="00C07859">
        <w:t xml:space="preserve"> a provozem zámecké kavárny</w:t>
      </w:r>
      <w:r w:rsidR="00EB5DA0">
        <w:t xml:space="preserve">. Tyto souvislosti je nutné zohlednit při přípravě </w:t>
      </w:r>
      <w:r w:rsidR="0058577D">
        <w:t>projektu, projektování a především při etapizaci samotné stavby.</w:t>
      </w:r>
      <w:r w:rsidR="006C7A31">
        <w:t xml:space="preserve"> Projekt „Zámek Pardubice – využití zámeckých interiérů a exteriérů“ přímo zasáh</w:t>
      </w:r>
      <w:r w:rsidR="001B157E">
        <w:t>ne zámecký palác, budovu čp. 2. a uliční frontu za č</w:t>
      </w:r>
      <w:r w:rsidR="006C7A31">
        <w:t>p. 2</w:t>
      </w:r>
      <w:r w:rsidR="00662DCD">
        <w:t>.</w:t>
      </w:r>
    </w:p>
    <w:p w:rsidR="0058577D" w:rsidRPr="00057EA4" w:rsidRDefault="0058577D" w:rsidP="00EB5DA0">
      <w:pPr>
        <w:jc w:val="both"/>
        <w:rPr>
          <w:b/>
        </w:rPr>
      </w:pPr>
      <w:r w:rsidRPr="00057EA4">
        <w:rPr>
          <w:b/>
        </w:rPr>
        <w:t xml:space="preserve">Současný stav: </w:t>
      </w:r>
    </w:p>
    <w:p w:rsidR="0058577D" w:rsidRDefault="0058577D" w:rsidP="0058577D">
      <w:pPr>
        <w:pStyle w:val="Odstavecseseznamem"/>
        <w:numPr>
          <w:ilvl w:val="0"/>
          <w:numId w:val="1"/>
        </w:numPr>
        <w:jc w:val="both"/>
      </w:pPr>
      <w:r>
        <w:t>Zámek Pardubice spravuje Východočeské muzeum v Pardubicích, které je zároveň správcem depozitárního areálu v</w:t>
      </w:r>
      <w:r w:rsidR="00607A06">
        <w:t> </w:t>
      </w:r>
      <w:r>
        <w:t>Ohrazenicích</w:t>
      </w:r>
      <w:r w:rsidR="00607A06">
        <w:t>. Tento areál je využíván při provozu muzea</w:t>
      </w:r>
      <w:r>
        <w:t>,</w:t>
      </w:r>
      <w:r w:rsidR="00607A06">
        <w:t xml:space="preserve"> nachází se 6</w:t>
      </w:r>
      <w:r w:rsidR="008033FF">
        <w:t xml:space="preserve"> </w:t>
      </w:r>
      <w:r w:rsidR="00607A06">
        <w:t xml:space="preserve">km od </w:t>
      </w:r>
      <w:r w:rsidR="00607A06" w:rsidRPr="00D50615">
        <w:t>zámku. V areálu</w:t>
      </w:r>
      <w:r w:rsidRPr="00D50615">
        <w:t xml:space="preserve"> </w:t>
      </w:r>
      <w:r w:rsidR="00607A06" w:rsidRPr="00D50615">
        <w:t>Ohrazenic</w:t>
      </w:r>
      <w:r w:rsidRPr="00D50615">
        <w:t xml:space="preserve"> se připravuje výstavba nových depozitářů.</w:t>
      </w:r>
      <w:r>
        <w:t xml:space="preserve"> V</w:t>
      </w:r>
      <w:r w:rsidR="00607A06">
        <w:t> zámeckém areálu také</w:t>
      </w:r>
      <w:r>
        <w:t xml:space="preserve"> sídlí Východočeská galerie.</w:t>
      </w:r>
    </w:p>
    <w:p w:rsidR="00C07859" w:rsidRDefault="0058577D" w:rsidP="0058577D">
      <w:pPr>
        <w:pStyle w:val="Odstavecseseznamem"/>
        <w:numPr>
          <w:ilvl w:val="0"/>
          <w:numId w:val="1"/>
        </w:numPr>
        <w:jc w:val="both"/>
      </w:pPr>
      <w:r>
        <w:t>V</w:t>
      </w:r>
      <w:r w:rsidR="001B157E">
        <w:t> renesančním zámeckém paláci č</w:t>
      </w:r>
      <w:r w:rsidR="004F7DD7">
        <w:t>p. 1</w:t>
      </w:r>
      <w:r>
        <w:t xml:space="preserve"> se nachází </w:t>
      </w:r>
      <w:r w:rsidR="00C07859">
        <w:t xml:space="preserve">8 stálých expozic, dva sály pro krátkodobé výstavy, rytířské sály pro kulturní akce, kaple pro kulturní akce, knihovna, studovna, </w:t>
      </w:r>
      <w:r w:rsidR="00607A06">
        <w:t xml:space="preserve">veřejné WC, </w:t>
      </w:r>
      <w:r w:rsidR="00C07859">
        <w:t>zázemí pro kustody a stálou ostrahu. V paláci jsou také umístěny depozitáře muzea, je</w:t>
      </w:r>
      <w:r w:rsidR="00A53048">
        <w:t>jich</w:t>
      </w:r>
      <w:r w:rsidR="00C07859">
        <w:t xml:space="preserve">ž provoz se řídí Zákonem o ochraně sbírek muzejní povahy č. 122/2000 </w:t>
      </w:r>
      <w:proofErr w:type="gramStart"/>
      <w:r w:rsidR="00C07859">
        <w:t>Sb..</w:t>
      </w:r>
      <w:proofErr w:type="gramEnd"/>
    </w:p>
    <w:p w:rsidR="006C7A31" w:rsidRDefault="001B157E" w:rsidP="0058577D">
      <w:pPr>
        <w:pStyle w:val="Odstavecseseznamem"/>
        <w:numPr>
          <w:ilvl w:val="0"/>
          <w:numId w:val="1"/>
        </w:numPr>
        <w:jc w:val="both"/>
      </w:pPr>
      <w:r>
        <w:t>V hospodářských budovách (čp. 2, 3 a 4</w:t>
      </w:r>
      <w:r w:rsidR="00C07859">
        <w:t xml:space="preserve">) jsou kanceláře pracovníků muzea, konzervátorské dílny, zázemí provozu a </w:t>
      </w:r>
      <w:r>
        <w:t>archeologické laboratoře. Do č</w:t>
      </w:r>
      <w:r w:rsidR="00C07859">
        <w:t>p. 2. jsou také situovány prostory přednáškového sálu, zámecké kavárny, výstavního sálu a zázemí pro provoz Vý</w:t>
      </w:r>
      <w:r>
        <w:t>chodočeského muzea. V budově čp. 3</w:t>
      </w:r>
      <w:r w:rsidR="00C07859">
        <w:t xml:space="preserve"> sídlí Východočeská galerie.</w:t>
      </w:r>
    </w:p>
    <w:p w:rsidR="00555DEE" w:rsidRDefault="006C7A31" w:rsidP="00555DEE">
      <w:pPr>
        <w:pStyle w:val="Odstavecseseznamem"/>
        <w:numPr>
          <w:ilvl w:val="0"/>
          <w:numId w:val="1"/>
        </w:numPr>
        <w:jc w:val="both"/>
      </w:pPr>
      <w:r>
        <w:t xml:space="preserve">Exteriéry zámku </w:t>
      </w:r>
      <w:r w:rsidR="00D96051">
        <w:t>j</w:t>
      </w:r>
      <w:r>
        <w:t>sou využívány ke kulturním akcím, volnočasovým aktivitám a relaxaci. Kulturní akce jsou připravovány téměř s ročním předstihem.</w:t>
      </w:r>
      <w:r w:rsidR="00C07859">
        <w:t xml:space="preserve"> </w:t>
      </w:r>
      <w:r>
        <w:t xml:space="preserve">Za běžného provozu je v exteriérech velký </w:t>
      </w:r>
      <w:r w:rsidR="00555DEE">
        <w:t>p</w:t>
      </w:r>
      <w:r>
        <w:t>ohyb lidí.</w:t>
      </w:r>
      <w:r w:rsidR="00555DEE">
        <w:t xml:space="preserve"> Ročně Zámek Pardubice navštíví téměř 150 000 lidí.</w:t>
      </w:r>
      <w:r>
        <w:t xml:space="preserve"> </w:t>
      </w:r>
    </w:p>
    <w:p w:rsidR="006C7A31" w:rsidRDefault="006C7A31" w:rsidP="00555DEE">
      <w:pPr>
        <w:pStyle w:val="Odstavecseseznamem"/>
        <w:numPr>
          <w:ilvl w:val="0"/>
          <w:numId w:val="1"/>
        </w:numPr>
        <w:jc w:val="both"/>
      </w:pPr>
      <w:r>
        <w:t>Prostor za hospodářskými budovami slo</w:t>
      </w:r>
      <w:r w:rsidR="00DD13F1">
        <w:t>u</w:t>
      </w:r>
      <w:r>
        <w:t>ží jako zázemí pro provoz.</w:t>
      </w:r>
      <w:r w:rsidR="00555DEE">
        <w:t xml:space="preserve"> </w:t>
      </w:r>
    </w:p>
    <w:p w:rsidR="006C7A31" w:rsidRDefault="006C7A31" w:rsidP="0058577D">
      <w:pPr>
        <w:pStyle w:val="Odstavecseseznamem"/>
        <w:numPr>
          <w:ilvl w:val="0"/>
          <w:numId w:val="1"/>
        </w:numPr>
        <w:jc w:val="both"/>
      </w:pPr>
      <w:r>
        <w:t>Těleso valů je udržováno v parkové úpravě a je pod ochranou jako Evropská přírodní lokalita.</w:t>
      </w:r>
    </w:p>
    <w:p w:rsidR="00662DCD" w:rsidRDefault="0080451F" w:rsidP="0058577D">
      <w:pPr>
        <w:pStyle w:val="Odstavecseseznamem"/>
        <w:numPr>
          <w:ilvl w:val="0"/>
          <w:numId w:val="1"/>
        </w:numPr>
        <w:jc w:val="both"/>
      </w:pPr>
      <w:r>
        <w:t>N</w:t>
      </w:r>
      <w:r w:rsidR="00D50615">
        <w:t>a n</w:t>
      </w:r>
      <w:r>
        <w:t xml:space="preserve">ové expozice, navigační systém a některé stavební úpravy v rytířských sálech </w:t>
      </w:r>
      <w:r w:rsidR="00D50615">
        <w:t>se do poloviny roku 2021 vztahuje udržitelnost projektu</w:t>
      </w:r>
      <w:r w:rsidR="00662DCD">
        <w:t xml:space="preserve"> spolufinancovan</w:t>
      </w:r>
      <w:r w:rsidR="00D50615">
        <w:t>ého</w:t>
      </w:r>
      <w:r w:rsidR="00662DCD">
        <w:t xml:space="preserve"> z EU. </w:t>
      </w:r>
    </w:p>
    <w:p w:rsidR="006C7A31" w:rsidRPr="00057EA4" w:rsidRDefault="006C7A31" w:rsidP="006C7A31">
      <w:pPr>
        <w:jc w:val="both"/>
        <w:rPr>
          <w:b/>
        </w:rPr>
      </w:pPr>
      <w:r w:rsidRPr="00057EA4">
        <w:rPr>
          <w:b/>
        </w:rPr>
        <w:t>Požadavky:</w:t>
      </w:r>
    </w:p>
    <w:p w:rsidR="00555DEE" w:rsidRPr="00555DEE" w:rsidRDefault="00555DEE" w:rsidP="006C7A31">
      <w:pPr>
        <w:pStyle w:val="Odstavecseseznamem"/>
        <w:numPr>
          <w:ilvl w:val="0"/>
          <w:numId w:val="3"/>
        </w:numPr>
        <w:jc w:val="both"/>
      </w:pPr>
      <w:r w:rsidRPr="00555DEE">
        <w:t>Projekční práce budou připravovány v úzké součinnosti s Východočeským muzeem v</w:t>
      </w:r>
      <w:r w:rsidR="00DD13F1">
        <w:t> </w:t>
      </w:r>
      <w:r w:rsidRPr="00555DEE">
        <w:t>Pardubicích</w:t>
      </w:r>
      <w:r w:rsidR="00DD13F1">
        <w:t>.</w:t>
      </w:r>
    </w:p>
    <w:p w:rsidR="000D04F8" w:rsidRPr="00555DEE" w:rsidRDefault="00662DCD" w:rsidP="006C7A31">
      <w:pPr>
        <w:pStyle w:val="Odstavecseseznamem"/>
        <w:numPr>
          <w:ilvl w:val="0"/>
          <w:numId w:val="3"/>
        </w:numPr>
        <w:jc w:val="both"/>
      </w:pPr>
      <w:r w:rsidRPr="00555DEE">
        <w:t>Dbát parametrů definovaných v Integrovaném regionálním operačním programu (IROP)</w:t>
      </w:r>
      <w:r w:rsidR="000D04F8" w:rsidRPr="00555DEE">
        <w:t xml:space="preserve"> při rozvaze o postupu prací v zámeckém paláci.</w:t>
      </w:r>
      <w:r w:rsidRPr="00555DEE">
        <w:t xml:space="preserve"> </w:t>
      </w:r>
    </w:p>
    <w:p w:rsidR="00662DCD" w:rsidRDefault="00961D85" w:rsidP="008033FF">
      <w:pPr>
        <w:pStyle w:val="Odstavecseseznamem"/>
        <w:numPr>
          <w:ilvl w:val="0"/>
          <w:numId w:val="3"/>
        </w:numPr>
        <w:jc w:val="both"/>
      </w:pPr>
      <w:r>
        <w:t xml:space="preserve">Připravit </w:t>
      </w:r>
      <w:r w:rsidR="001B157E">
        <w:t>studii na zázemí za čp. 2</w:t>
      </w:r>
      <w:r>
        <w:t xml:space="preserve"> </w:t>
      </w:r>
      <w:r w:rsidR="008033FF">
        <w:t>včetně hmotové vizualizace</w:t>
      </w:r>
      <w:r>
        <w:t xml:space="preserve">.   </w:t>
      </w:r>
    </w:p>
    <w:p w:rsidR="00961D85" w:rsidRDefault="00662DCD" w:rsidP="006C7A31">
      <w:pPr>
        <w:pStyle w:val="Odstavecseseznamem"/>
        <w:numPr>
          <w:ilvl w:val="0"/>
          <w:numId w:val="3"/>
        </w:numPr>
        <w:jc w:val="both"/>
      </w:pPr>
      <w:r>
        <w:t>Dodržovat podmínky dané Zákonem o ochraně sbírek muzejní povahy č. 122/2000 Sb., tedy přístup odpovědných osob, ochrana EZS, EPS a monitorování klimatu v depozitářích.</w:t>
      </w:r>
    </w:p>
    <w:p w:rsidR="00145FA8" w:rsidRPr="00A53048" w:rsidRDefault="00961D85" w:rsidP="006C7A31">
      <w:pPr>
        <w:pStyle w:val="Odstavecseseznamem"/>
        <w:numPr>
          <w:ilvl w:val="0"/>
          <w:numId w:val="3"/>
        </w:numPr>
        <w:jc w:val="both"/>
      </w:pPr>
      <w:r>
        <w:t xml:space="preserve">Nadstandardně připravený harmonogram stavby by měl umožnit plnohodnotný provoz muzea ve vztahu k muzejnímu zákonu, koordinovat provoz zámku s ohledem na velkou řadu externích pořadatelských subjektů. VČM </w:t>
      </w:r>
      <w:r w:rsidR="00145FA8">
        <w:t xml:space="preserve">navrhuje: </w:t>
      </w:r>
      <w:r w:rsidR="00145FA8" w:rsidRPr="001B157E">
        <w:rPr>
          <w:b/>
        </w:rPr>
        <w:t>1</w:t>
      </w:r>
      <w:r w:rsidR="001B157E" w:rsidRPr="001B157E">
        <w:rPr>
          <w:b/>
        </w:rPr>
        <w:t>)</w:t>
      </w:r>
      <w:r w:rsidR="001B157E">
        <w:t xml:space="preserve"> stavba za čp. 2</w:t>
      </w:r>
      <w:r w:rsidR="00145FA8">
        <w:t>;</w:t>
      </w:r>
      <w:r>
        <w:t xml:space="preserve"> </w:t>
      </w:r>
      <w:r w:rsidR="00145FA8" w:rsidRPr="00607A06">
        <w:rPr>
          <w:b/>
        </w:rPr>
        <w:t>2)</w:t>
      </w:r>
      <w:r w:rsidR="00145FA8">
        <w:t xml:space="preserve"> </w:t>
      </w:r>
      <w:r>
        <w:t>rekonstrukc</w:t>
      </w:r>
      <w:r w:rsidR="00145FA8">
        <w:t xml:space="preserve">e </w:t>
      </w:r>
      <w:r w:rsidR="001B157E">
        <w:lastRenderedPageBreak/>
        <w:t>kancelářského traktu č</w:t>
      </w:r>
      <w:r w:rsidR="00145FA8" w:rsidRPr="00A53048">
        <w:t xml:space="preserve">p. </w:t>
      </w:r>
      <w:r w:rsidR="001B157E">
        <w:t>2</w:t>
      </w:r>
      <w:r w:rsidR="00145FA8" w:rsidRPr="00A53048">
        <w:t xml:space="preserve">; </w:t>
      </w:r>
      <w:r w:rsidR="00145FA8" w:rsidRPr="00607A06">
        <w:rPr>
          <w:b/>
        </w:rPr>
        <w:t xml:space="preserve">3) </w:t>
      </w:r>
      <w:r w:rsidR="00145FA8" w:rsidRPr="00A53048">
        <w:t xml:space="preserve">revitalizace zámeckého paláce; </w:t>
      </w:r>
      <w:r w:rsidR="00145FA8" w:rsidRPr="001B157E">
        <w:rPr>
          <w:b/>
        </w:rPr>
        <w:t>4</w:t>
      </w:r>
      <w:r w:rsidR="00145FA8" w:rsidRPr="00A53048">
        <w:t>) příprava prohlídkového okruhu „Vítejte na dvoře Pernštejnů“.</w:t>
      </w:r>
    </w:p>
    <w:p w:rsidR="00A53048" w:rsidRPr="00555DEE" w:rsidRDefault="00A53048" w:rsidP="00A5304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eastAsia="Times New Roman" w:hAnsi="Arial" w:cs="Arial"/>
        </w:rPr>
      </w:pPr>
      <w:r w:rsidRPr="00555DEE">
        <w:rPr>
          <w:rFonts w:eastAsia="Times New Roman" w:cs="Arial"/>
        </w:rPr>
        <w:t>Před provedením návrhu je nutné provést všechny potřebné průzkumy a komunikovat při návrzích s NPÚ</w:t>
      </w:r>
      <w:r w:rsidRPr="00555DEE">
        <w:rPr>
          <w:rFonts w:ascii="Arial" w:eastAsia="Times New Roman" w:hAnsi="Arial" w:cs="Arial"/>
        </w:rPr>
        <w:t>.</w:t>
      </w:r>
    </w:p>
    <w:p w:rsidR="00145FA8" w:rsidRPr="00057EA4" w:rsidRDefault="00145FA8" w:rsidP="00145FA8">
      <w:pPr>
        <w:jc w:val="both"/>
        <w:rPr>
          <w:b/>
        </w:rPr>
      </w:pPr>
      <w:bookmarkStart w:id="0" w:name="_GoBack"/>
      <w:r w:rsidRPr="00057EA4">
        <w:rPr>
          <w:b/>
        </w:rPr>
        <w:t>Omezení:</w:t>
      </w:r>
    </w:p>
    <w:bookmarkEnd w:id="0"/>
    <w:p w:rsidR="00145FA8" w:rsidRDefault="00145FA8" w:rsidP="00145FA8">
      <w:pPr>
        <w:pStyle w:val="Odstavecseseznamem"/>
        <w:numPr>
          <w:ilvl w:val="0"/>
          <w:numId w:val="4"/>
        </w:numPr>
        <w:jc w:val="both"/>
      </w:pPr>
      <w:r>
        <w:t>Prostor národní kulturní památky</w:t>
      </w:r>
      <w:r w:rsidR="00DD13F1">
        <w:t>.</w:t>
      </w:r>
    </w:p>
    <w:p w:rsidR="00145FA8" w:rsidRDefault="00145FA8" w:rsidP="00145FA8">
      <w:pPr>
        <w:pStyle w:val="Odstavecseseznamem"/>
        <w:numPr>
          <w:ilvl w:val="0"/>
          <w:numId w:val="4"/>
        </w:numPr>
        <w:jc w:val="both"/>
      </w:pPr>
      <w:r>
        <w:t>Uzav</w:t>
      </w:r>
      <w:r w:rsidR="00555DEE">
        <w:t>řenost areálu. Zámek je obehnán</w:t>
      </w:r>
      <w:r>
        <w:t xml:space="preserve"> valem a hradební zdí. </w:t>
      </w:r>
      <w:r w:rsidR="001B157E">
        <w:t xml:space="preserve">Valy a příjezdová alej jsou EVL     (Evropsky významnou lokalitou). </w:t>
      </w:r>
      <w:r>
        <w:t>Přístup do zámku je pou</w:t>
      </w:r>
      <w:r w:rsidR="0080451F">
        <w:t>z</w:t>
      </w:r>
      <w:r w:rsidR="00A53048">
        <w:t>e jednou branou omezen gotickou klenbou.</w:t>
      </w:r>
    </w:p>
    <w:p w:rsidR="0096534D" w:rsidRDefault="0096534D" w:rsidP="0096534D">
      <w:pPr>
        <w:pStyle w:val="Odstavecseseznamem"/>
        <w:numPr>
          <w:ilvl w:val="0"/>
          <w:numId w:val="4"/>
        </w:numPr>
        <w:jc w:val="both"/>
      </w:pPr>
      <w:r>
        <w:t>Prostor za hradební zdí není v majetku VČM.</w:t>
      </w:r>
    </w:p>
    <w:p w:rsidR="00145FA8" w:rsidRPr="00A53048" w:rsidRDefault="00145FA8" w:rsidP="00145FA8">
      <w:pPr>
        <w:pStyle w:val="Odstavecseseznamem"/>
        <w:numPr>
          <w:ilvl w:val="0"/>
          <w:numId w:val="4"/>
        </w:numPr>
        <w:jc w:val="both"/>
      </w:pPr>
      <w:r w:rsidRPr="00A53048">
        <w:t xml:space="preserve">Do zámeckého paláce je </w:t>
      </w:r>
      <w:r w:rsidR="000D04F8" w:rsidRPr="00A53048">
        <w:t>průjezd pouze přes prk</w:t>
      </w:r>
      <w:r w:rsidR="00A53048">
        <w:t>e</w:t>
      </w:r>
      <w:r w:rsidR="000D04F8" w:rsidRPr="00A53048">
        <w:t>n</w:t>
      </w:r>
      <w:r w:rsidR="00A53048">
        <w:t>n</w:t>
      </w:r>
      <w:r w:rsidR="000D04F8" w:rsidRPr="00A53048">
        <w:t>ou podlahu.</w:t>
      </w:r>
    </w:p>
    <w:p w:rsidR="000D04F8" w:rsidRPr="00D50615" w:rsidRDefault="00A53048" w:rsidP="00D50615">
      <w:pPr>
        <w:pStyle w:val="Odstavecseseznamem"/>
        <w:numPr>
          <w:ilvl w:val="0"/>
          <w:numId w:val="4"/>
        </w:numPr>
        <w:jc w:val="both"/>
      </w:pPr>
      <w:r w:rsidRPr="00A53048">
        <w:rPr>
          <w:rFonts w:cs="Arial"/>
        </w:rPr>
        <w:t xml:space="preserve">Hlavní plocha na nádvoří mezi hospodářskými budovami je provedena ze štětové dlažby, která je navržena jako pojízdná pouze pro osobní automobily, výjimečně pro nákladní auto střední třídy </w:t>
      </w:r>
      <w:r w:rsidRPr="00D50615">
        <w:rPr>
          <w:rFonts w:cs="Arial"/>
        </w:rPr>
        <w:t>do nosnosti 2,5 tuny.</w:t>
      </w:r>
    </w:p>
    <w:p w:rsidR="00A53048" w:rsidRPr="00D50615" w:rsidRDefault="00A53048" w:rsidP="00D50615">
      <w:pPr>
        <w:pStyle w:val="Odstavecseseznamem"/>
        <w:numPr>
          <w:ilvl w:val="0"/>
          <w:numId w:val="4"/>
        </w:numPr>
        <w:spacing w:after="160" w:line="252" w:lineRule="auto"/>
        <w:jc w:val="both"/>
        <w:rPr>
          <w:rFonts w:cs="Tahoma"/>
        </w:rPr>
      </w:pPr>
      <w:r w:rsidRPr="00D50615">
        <w:rPr>
          <w:rFonts w:cs="Tahoma"/>
        </w:rPr>
        <w:t xml:space="preserve">Parkánový prostor je přístupovou cestou hasičů, v tomto prostoru </w:t>
      </w:r>
      <w:r w:rsidR="001B157E" w:rsidRPr="00D50615">
        <w:rPr>
          <w:rFonts w:cs="Tahoma"/>
        </w:rPr>
        <w:t xml:space="preserve">je možno umístit zařízení staveniště </w:t>
      </w:r>
      <w:r w:rsidRPr="00D50615">
        <w:rPr>
          <w:rFonts w:cs="Tahoma"/>
        </w:rPr>
        <w:t>pouze po projednání s HZS.</w:t>
      </w:r>
    </w:p>
    <w:p w:rsidR="00A53048" w:rsidRPr="00D50615" w:rsidRDefault="00A53048" w:rsidP="00D50615">
      <w:pPr>
        <w:pStyle w:val="Odstavecseseznamem"/>
        <w:numPr>
          <w:ilvl w:val="0"/>
          <w:numId w:val="4"/>
        </w:numPr>
        <w:jc w:val="both"/>
      </w:pPr>
      <w:r w:rsidRPr="00D50615">
        <w:t>Při otevření a provozu zámku řešit bez</w:t>
      </w:r>
      <w:r w:rsidR="001B157E" w:rsidRPr="00D50615">
        <w:t>pečnost práce dle základní</w:t>
      </w:r>
      <w:r w:rsidR="00507636" w:rsidRPr="00D50615">
        <w:t xml:space="preserve">ch platných právních předpisů </w:t>
      </w:r>
      <w:r w:rsidR="001B157E" w:rsidRPr="00D50615">
        <w:t>BOZP.</w:t>
      </w:r>
    </w:p>
    <w:p w:rsidR="00555DEE" w:rsidRPr="00D50615" w:rsidRDefault="00555DEE" w:rsidP="00D50615">
      <w:pPr>
        <w:pStyle w:val="Odstavecseseznamem"/>
        <w:numPr>
          <w:ilvl w:val="0"/>
          <w:numId w:val="4"/>
        </w:numPr>
        <w:jc w:val="both"/>
      </w:pPr>
      <w:r w:rsidRPr="00D50615">
        <w:t>Valy a příjezdová alej jsou EVL</w:t>
      </w:r>
      <w:r w:rsidR="004F7DD7" w:rsidRPr="00D50615">
        <w:t xml:space="preserve"> -</w:t>
      </w:r>
      <w:r w:rsidRPr="00D50615">
        <w:t xml:space="preserve"> Evropsky</w:t>
      </w:r>
      <w:r w:rsidR="004F7DD7" w:rsidRPr="00D50615">
        <w:t xml:space="preserve"> </w:t>
      </w:r>
      <w:r w:rsidRPr="00D50615">
        <w:t xml:space="preserve"> významnou lokalitou.</w:t>
      </w:r>
    </w:p>
    <w:p w:rsidR="006C7A31" w:rsidRPr="00D50615" w:rsidRDefault="00961D85" w:rsidP="00D50615">
      <w:pPr>
        <w:pStyle w:val="Odstavecseseznamem"/>
        <w:jc w:val="both"/>
      </w:pPr>
      <w:r w:rsidRPr="00D50615">
        <w:t xml:space="preserve">    </w:t>
      </w:r>
      <w:r w:rsidR="00662DCD" w:rsidRPr="00D50615">
        <w:t xml:space="preserve">   </w:t>
      </w:r>
    </w:p>
    <w:p w:rsidR="006C7A31" w:rsidRDefault="006C7A31" w:rsidP="006C7A31">
      <w:pPr>
        <w:rPr>
          <w:rFonts w:ascii="Arial" w:hAnsi="Arial" w:cs="Tahoma"/>
        </w:rPr>
      </w:pPr>
    </w:p>
    <w:p w:rsidR="0058577D" w:rsidRDefault="006C7A31" w:rsidP="006C7A31">
      <w:pPr>
        <w:jc w:val="both"/>
      </w:pPr>
      <w:r>
        <w:t xml:space="preserve"> </w:t>
      </w:r>
      <w:r w:rsidR="00C07859">
        <w:t xml:space="preserve">   </w:t>
      </w:r>
    </w:p>
    <w:p w:rsidR="0058577D" w:rsidRDefault="0058577D" w:rsidP="0058577D">
      <w:pPr>
        <w:jc w:val="both"/>
      </w:pPr>
    </w:p>
    <w:p w:rsidR="00783501" w:rsidRDefault="0058577D" w:rsidP="0058577D">
      <w:pPr>
        <w:jc w:val="both"/>
      </w:pPr>
      <w:r>
        <w:t xml:space="preserve">   </w:t>
      </w:r>
    </w:p>
    <w:p w:rsidR="0058577D" w:rsidRDefault="00DD13F1" w:rsidP="00EB5DA0">
      <w:pPr>
        <w:jc w:val="both"/>
      </w:pPr>
      <w:r>
        <w:t>Zpracoval: Tomáš Libánek, ředitel VČM</w:t>
      </w:r>
    </w:p>
    <w:sectPr w:rsidR="0058577D" w:rsidSect="00942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18A5"/>
    <w:multiLevelType w:val="hybridMultilevel"/>
    <w:tmpl w:val="3DC06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70AF"/>
    <w:multiLevelType w:val="hybridMultilevel"/>
    <w:tmpl w:val="DC346476"/>
    <w:lvl w:ilvl="0" w:tplc="9D68170E">
      <w:start w:val="1"/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11CDE"/>
    <w:multiLevelType w:val="hybridMultilevel"/>
    <w:tmpl w:val="4182A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43840"/>
    <w:multiLevelType w:val="hybridMultilevel"/>
    <w:tmpl w:val="625CD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4F"/>
    <w:rsid w:val="00057EA4"/>
    <w:rsid w:val="000D04F8"/>
    <w:rsid w:val="00145FA8"/>
    <w:rsid w:val="0016412D"/>
    <w:rsid w:val="001B157E"/>
    <w:rsid w:val="0027544F"/>
    <w:rsid w:val="003C2B73"/>
    <w:rsid w:val="00403441"/>
    <w:rsid w:val="004E3883"/>
    <w:rsid w:val="004F7DD7"/>
    <w:rsid w:val="00507636"/>
    <w:rsid w:val="00555DEE"/>
    <w:rsid w:val="0058577D"/>
    <w:rsid w:val="00607A06"/>
    <w:rsid w:val="00662DCD"/>
    <w:rsid w:val="006C7A31"/>
    <w:rsid w:val="008033FF"/>
    <w:rsid w:val="0080451F"/>
    <w:rsid w:val="008D62D4"/>
    <w:rsid w:val="0094295C"/>
    <w:rsid w:val="00961D85"/>
    <w:rsid w:val="0096534D"/>
    <w:rsid w:val="00A53048"/>
    <w:rsid w:val="00BE6D2E"/>
    <w:rsid w:val="00C073EE"/>
    <w:rsid w:val="00C07859"/>
    <w:rsid w:val="00CB6564"/>
    <w:rsid w:val="00CE3D2D"/>
    <w:rsid w:val="00D50615"/>
    <w:rsid w:val="00D96051"/>
    <w:rsid w:val="00DD13F1"/>
    <w:rsid w:val="00EB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0D7BF-9C16-43A6-9057-A4989B71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5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E02A9-CEF3-4567-9B1D-271E10C1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libanek</dc:creator>
  <cp:lastModifiedBy>Mareš Petr Ing.</cp:lastModifiedBy>
  <cp:revision>3</cp:revision>
  <dcterms:created xsi:type="dcterms:W3CDTF">2016-06-29T07:12:00Z</dcterms:created>
  <dcterms:modified xsi:type="dcterms:W3CDTF">2016-06-29T14:49:00Z</dcterms:modified>
</cp:coreProperties>
</file>