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DB51" w14:textId="213F2481" w:rsidR="003D56B8" w:rsidRPr="003D56B8" w:rsidRDefault="002D7C2B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D71C25">
        <w:rPr>
          <w:rFonts w:ascii="Arial" w:hAnsi="Arial" w:cs="Arial"/>
          <w:b/>
        </w:rPr>
        <w:t>2</w:t>
      </w:r>
      <w:bookmarkStart w:id="0" w:name="_GoBack"/>
      <w:bookmarkEnd w:id="0"/>
    </w:p>
    <w:p w14:paraId="6E0E5F15" w14:textId="77777777" w:rsidR="003D56B8" w:rsidRPr="003D56B8" w:rsidRDefault="003D56B8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14:paraId="38628C5C" w14:textId="7943A7DB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1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</w:r>
    </w:p>
    <w:p w14:paraId="37AF7645" w14:textId="07C86F5E" w:rsidR="001E308E" w:rsidRPr="000478A3" w:rsidRDefault="001E308E" w:rsidP="001E308E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0478A3">
        <w:rPr>
          <w:rFonts w:ascii="Arial" w:hAnsi="Arial" w:cs="Arial"/>
          <w:b/>
          <w:bCs/>
          <w:iCs/>
          <w:sz w:val="32"/>
          <w:szCs w:val="32"/>
        </w:rPr>
        <w:t>„</w:t>
      </w:r>
      <w:r w:rsidR="00F25137">
        <w:rPr>
          <w:rFonts w:ascii="Arial" w:hAnsi="Arial" w:cs="Arial"/>
          <w:b/>
          <w:bCs/>
          <w:iCs/>
          <w:sz w:val="32"/>
          <w:szCs w:val="32"/>
        </w:rPr>
        <w:t>ZZS Pardubického kraje – model pro vzdělávací a výcvikové středisko</w:t>
      </w:r>
      <w:r w:rsidRPr="000478A3">
        <w:rPr>
          <w:rFonts w:ascii="Arial" w:hAnsi="Arial" w:cs="Arial"/>
          <w:b/>
          <w:bCs/>
          <w:iCs/>
          <w:sz w:val="32"/>
          <w:szCs w:val="32"/>
        </w:rPr>
        <w:t>“</w:t>
      </w:r>
    </w:p>
    <w:p w14:paraId="61590E87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</w:p>
    <w:p w14:paraId="308F4C9A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047A7795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694A351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5EE49D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142011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0371D3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5F0583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E0407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14:paraId="40C23C21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76899DD2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1878675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E215DBA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4115A2B4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60FB01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52E2BD31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5F80D70B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CC69D75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1A9370E4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255E9726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8D948C0" w14:textId="77777777" w:rsidR="003A4F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1"/>
    </w:p>
    <w:p w14:paraId="02C8AD38" w14:textId="77777777" w:rsidR="003A4FBA" w:rsidRDefault="003A4FBA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7A9EB0C" w14:textId="77777777" w:rsidR="003D56B8" w:rsidRPr="00D83B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14:paraId="4C8DE92E" w14:textId="4F852736" w:rsidR="00692D6B" w:rsidRPr="00915332" w:rsidRDefault="003D56B8" w:rsidP="00915332">
      <w:pPr>
        <w:pStyle w:val="Textodstavce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>příslušné</w:t>
      </w:r>
      <w:r w:rsidRPr="00786FB8">
        <w:rPr>
          <w:rFonts w:ascii="Arial" w:hAnsi="Arial" w:cs="Arial"/>
          <w:sz w:val="22"/>
          <w:szCs w:val="22"/>
        </w:rPr>
        <w:t xml:space="preserve"> </w:t>
      </w:r>
      <w:r w:rsidR="00FC5F6F">
        <w:rPr>
          <w:rFonts w:ascii="Arial" w:hAnsi="Arial" w:cs="Arial"/>
          <w:sz w:val="22"/>
          <w:szCs w:val="22"/>
        </w:rPr>
        <w:t>Výzvě („</w:t>
      </w:r>
      <w:r w:rsidR="000478A3">
        <w:rPr>
          <w:rFonts w:ascii="Arial" w:hAnsi="Arial" w:cs="Arial"/>
          <w:sz w:val="22"/>
          <w:szCs w:val="22"/>
        </w:rPr>
        <w:t>Zadávací dokumentaci</w:t>
      </w:r>
      <w:r w:rsidR="00FC5F6F">
        <w:rPr>
          <w:rFonts w:ascii="Arial" w:hAnsi="Arial" w:cs="Arial"/>
          <w:sz w:val="22"/>
          <w:szCs w:val="22"/>
        </w:rPr>
        <w:t>“)</w:t>
      </w:r>
    </w:p>
    <w:p w14:paraId="15497D0A" w14:textId="53C94590" w:rsidR="003A4FBA" w:rsidRPr="003D56B8" w:rsidRDefault="00231049" w:rsidP="00915332">
      <w:pPr>
        <w:tabs>
          <w:tab w:val="left" w:pos="2552"/>
          <w:tab w:val="left" w:pos="3544"/>
        </w:tabs>
        <w:spacing w:before="120"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14:paraId="3F4E97EA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4526B716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94AA0FA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obchodování s lidmi,</w:t>
      </w:r>
    </w:p>
    <w:p w14:paraId="3F0E9CCB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14:paraId="2EA1E8E5" w14:textId="77777777" w:rsidR="00231049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14:paraId="5D60135A" w14:textId="49D35549" w:rsidR="00915332" w:rsidRPr="003D56B8" w:rsidRDefault="00915332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pojistný podvod</w:t>
      </w:r>
    </w:p>
    <w:p w14:paraId="1470682B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14:paraId="3758FE55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14:paraId="6C21CC02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lastRenderedPageBreak/>
        <w:t>legalizace výnosů z trestné činnosti,</w:t>
      </w:r>
    </w:p>
    <w:p w14:paraId="679C4D5A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14:paraId="725073CC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hospodářské:</w:t>
      </w:r>
    </w:p>
    <w:p w14:paraId="13774DDA" w14:textId="2A9DC9FA" w:rsidR="00231049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informace v obchodním styku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25A44BB" w14:textId="11C93915" w:rsidR="00915332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zneužití postavení v obchodním styku</w:t>
      </w:r>
    </w:p>
    <w:p w14:paraId="62F257AB" w14:textId="0056D8CE" w:rsidR="00231049" w:rsidRPr="003D56B8" w:rsidRDefault="00915332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577C0">
        <w:rPr>
          <w:rFonts w:ascii="Arial" w:hAnsi="Arial" w:cs="Arial"/>
          <w:color w:val="000000"/>
          <w:sz w:val="22"/>
          <w:szCs w:val="22"/>
        </w:rPr>
        <w:t>zjednání výhody při zadání veřejné zakázky, při veřejné soutěži a veřejné dražbě</w:t>
      </w:r>
      <w:r w:rsidR="00231049" w:rsidRPr="003D56B8">
        <w:rPr>
          <w:rFonts w:ascii="Arial" w:hAnsi="Arial" w:cs="Arial"/>
          <w:sz w:val="22"/>
          <w:szCs w:val="22"/>
        </w:rPr>
        <w:t>,</w:t>
      </w:r>
    </w:p>
    <w:p w14:paraId="061A3329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14:paraId="36295EEC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14:paraId="6C2B51F5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14:paraId="54F4161E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14:paraId="33016F51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14:paraId="591837E9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14:paraId="1125DC69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14:paraId="748557CC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14:paraId="3A861B08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14:paraId="1C38233D" w14:textId="52078684" w:rsidR="003A4FBA" w:rsidRPr="00915332" w:rsidRDefault="00231049" w:rsidP="00915332">
      <w:pPr>
        <w:pStyle w:val="Odstavecseseznamem"/>
        <w:numPr>
          <w:ilvl w:val="0"/>
          <w:numId w:val="5"/>
        </w:numPr>
        <w:ind w:left="127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14:paraId="30AC9694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6819872D" w14:textId="77777777" w:rsidR="00231049" w:rsidRPr="00915332" w:rsidRDefault="00231049" w:rsidP="00915332">
      <w:pPr>
        <w:spacing w:before="120" w:after="0" w:line="240" w:lineRule="auto"/>
        <w:ind w:left="284"/>
        <w:jc w:val="both"/>
        <w:rPr>
          <w:rFonts w:ascii="Arial" w:hAnsi="Arial" w:cs="Arial"/>
          <w:i/>
        </w:rPr>
      </w:pPr>
      <w:r w:rsidRPr="00915332">
        <w:rPr>
          <w:rFonts w:ascii="Arial" w:hAnsi="Arial" w:cs="Arial"/>
          <w:i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14:paraId="3663BA44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886644" w:rsidRPr="003D56B8">
        <w:rPr>
          <w:rFonts w:ascii="Arial" w:hAnsi="Arial" w:cs="Arial"/>
          <w:sz w:val="22"/>
          <w:szCs w:val="22"/>
        </w:rPr>
        <w:t xml:space="preserve"> a zároveň nemá zejména splatný daňový nedoplatek ve vztahu ke spotřební dani</w:t>
      </w:r>
      <w:r w:rsidRPr="003D56B8">
        <w:rPr>
          <w:rFonts w:ascii="Arial" w:hAnsi="Arial" w:cs="Arial"/>
          <w:sz w:val="22"/>
          <w:szCs w:val="22"/>
        </w:rPr>
        <w:t>,</w:t>
      </w:r>
    </w:p>
    <w:p w14:paraId="2AED9247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71183E2" w14:textId="77777777" w:rsidR="00231049" w:rsidRPr="003D56B8" w:rsidRDefault="00231049" w:rsidP="00915332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403E8114" w14:textId="192F5672" w:rsidR="00915332" w:rsidRPr="00AF4ED4" w:rsidRDefault="00231049" w:rsidP="00AF4ED4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4600208"/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bookmarkEnd w:id="2"/>
    </w:p>
    <w:p w14:paraId="1919C7B4" w14:textId="77777777" w:rsidR="001E308E" w:rsidRPr="003D56B8" w:rsidRDefault="001E308E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D0F0761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3" w:name="_Hlk504599873"/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3"/>
    <w:p w14:paraId="149AD68E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1325AF8D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3C732" wp14:editId="6B5D827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7CC5CE9" w14:textId="77777777" w:rsidR="008C25AE" w:rsidRPr="00AF4ED4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6152252" w14:textId="77777777" w:rsidR="008C25AE" w:rsidRPr="00AF4ED4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3D28F2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FCAFCE6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3A729" wp14:editId="7310C11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3954D7B3" w14:textId="77777777"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CB114D">
      <w:headerReference w:type="default" r:id="rId7"/>
      <w:pgSz w:w="11906" w:h="16838"/>
      <w:pgMar w:top="1417" w:right="1417" w:bottom="1276" w:left="1417" w:header="142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07F4B" w14:textId="77777777" w:rsidR="00E600DF" w:rsidRDefault="00E600DF" w:rsidP="00692D6B">
      <w:pPr>
        <w:spacing w:after="0" w:line="240" w:lineRule="auto"/>
      </w:pPr>
      <w:r>
        <w:separator/>
      </w:r>
    </w:p>
  </w:endnote>
  <w:endnote w:type="continuationSeparator" w:id="0">
    <w:p w14:paraId="2C67827E" w14:textId="77777777" w:rsidR="00E600DF" w:rsidRDefault="00E600DF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399C8" w14:textId="77777777" w:rsidR="00E600DF" w:rsidRDefault="00E600DF" w:rsidP="00692D6B">
      <w:pPr>
        <w:spacing w:after="0" w:line="240" w:lineRule="auto"/>
      </w:pPr>
      <w:r>
        <w:separator/>
      </w:r>
    </w:p>
  </w:footnote>
  <w:footnote w:type="continuationSeparator" w:id="0">
    <w:p w14:paraId="6BACD2C8" w14:textId="77777777" w:rsidR="00E600DF" w:rsidRDefault="00E600DF" w:rsidP="00692D6B">
      <w:pPr>
        <w:spacing w:after="0" w:line="240" w:lineRule="auto"/>
      </w:pPr>
      <w:r>
        <w:continuationSeparator/>
      </w:r>
    </w:p>
  </w:footnote>
  <w:footnote w:id="1">
    <w:p w14:paraId="23C31CBD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0F323643" w14:textId="77777777" w:rsidR="00231049" w:rsidRPr="00915332" w:rsidRDefault="00231049" w:rsidP="00231049">
      <w:pPr>
        <w:pStyle w:val="Textpoznpodarou"/>
        <w:jc w:val="both"/>
        <w:rPr>
          <w:rFonts w:asciiTheme="minorHAnsi" w:hAnsiTheme="minorHAnsi" w:cstheme="minorHAnsi"/>
          <w:spacing w:val="-6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</w:t>
      </w:r>
      <w:r w:rsidRPr="00915332">
        <w:rPr>
          <w:rFonts w:asciiTheme="minorHAnsi" w:hAnsiTheme="minorHAnsi" w:cstheme="minorHAnsi"/>
          <w:spacing w:val="-6"/>
          <w:sz w:val="18"/>
          <w:szCs w:val="18"/>
        </w:rPr>
        <w:t>dle ustanovení § 136 zákona č. 182/2006 Sb., o úpadku a způsobech jeho řešení (insolvenční zákon), ve znění pozdějších předpisů.</w:t>
      </w:r>
    </w:p>
  </w:footnote>
  <w:footnote w:id="3">
    <w:p w14:paraId="14585347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51ECA" w14:textId="77777777" w:rsidR="00B06AAB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4" w:name="_Hlk479285776"/>
  </w:p>
  <w:p w14:paraId="5A8AF470" w14:textId="24293D5C" w:rsidR="00B06AAB" w:rsidRPr="008B36E9" w:rsidRDefault="00B06AAB" w:rsidP="00B06AAB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6B8834" wp14:editId="3DBCE362">
          <wp:simplePos x="0" y="0"/>
          <wp:positionH relativeFrom="margin">
            <wp:posOffset>-635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3B">
      <w:rPr>
        <w:rFonts w:ascii="Arial" w:hAnsi="Arial" w:cs="Arial"/>
        <w:i/>
        <w:sz w:val="20"/>
        <w:szCs w:val="20"/>
      </w:rPr>
      <w:t>Poptávkové řízení</w:t>
    </w:r>
    <w:r w:rsidRPr="008B36E9">
      <w:rPr>
        <w:rFonts w:ascii="Arial" w:hAnsi="Arial" w:cs="Arial"/>
        <w:i/>
        <w:sz w:val="20"/>
        <w:szCs w:val="20"/>
      </w:rPr>
      <w:t xml:space="preserve"> </w:t>
    </w:r>
  </w:p>
  <w:p w14:paraId="14C1141F" w14:textId="2B0CC714" w:rsidR="00B06AAB" w:rsidRPr="00FC0F85" w:rsidRDefault="00B06AAB" w:rsidP="00D109D3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0A0A13">
      <w:rPr>
        <w:rFonts w:ascii="Arial" w:hAnsi="Arial" w:cs="Arial"/>
        <w:i/>
        <w:sz w:val="20"/>
        <w:szCs w:val="20"/>
      </w:rPr>
      <w:t>„</w:t>
    </w:r>
    <w:r w:rsidR="00F25137">
      <w:rPr>
        <w:rFonts w:ascii="Arial" w:hAnsi="Arial" w:cs="Arial"/>
        <w:i/>
        <w:sz w:val="20"/>
        <w:szCs w:val="20"/>
      </w:rPr>
      <w:t>ZZS Pardubického kraje – model pro vzdělávací a výcvikové středisko</w:t>
    </w:r>
    <w:r w:rsidRPr="008248B0">
      <w:rPr>
        <w:rFonts w:ascii="Arial" w:hAnsi="Arial" w:cs="Arial"/>
        <w:i/>
        <w:sz w:val="20"/>
        <w:szCs w:val="20"/>
      </w:rPr>
      <w:t>“</w:t>
    </w:r>
  </w:p>
  <w:p w14:paraId="4E2DB04B" w14:textId="77777777" w:rsidR="00B06AAB" w:rsidRPr="00B14D8A" w:rsidRDefault="00B06AAB" w:rsidP="00B06AAB">
    <w:pPr>
      <w:pStyle w:val="Zhlav"/>
    </w:pP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0168A"/>
    <w:rsid w:val="000054DF"/>
    <w:rsid w:val="0004657D"/>
    <w:rsid w:val="000478A3"/>
    <w:rsid w:val="000956CB"/>
    <w:rsid w:val="000F436F"/>
    <w:rsid w:val="0012192F"/>
    <w:rsid w:val="00130DAA"/>
    <w:rsid w:val="00142011"/>
    <w:rsid w:val="00161B5A"/>
    <w:rsid w:val="001907DE"/>
    <w:rsid w:val="001C225C"/>
    <w:rsid w:val="001E308E"/>
    <w:rsid w:val="001F0D82"/>
    <w:rsid w:val="00204A52"/>
    <w:rsid w:val="00231049"/>
    <w:rsid w:val="002450BF"/>
    <w:rsid w:val="00246705"/>
    <w:rsid w:val="002873FD"/>
    <w:rsid w:val="002D7C2B"/>
    <w:rsid w:val="00326032"/>
    <w:rsid w:val="003548C1"/>
    <w:rsid w:val="00392EA4"/>
    <w:rsid w:val="003A3917"/>
    <w:rsid w:val="003A4FBA"/>
    <w:rsid w:val="003C221F"/>
    <w:rsid w:val="003D39F6"/>
    <w:rsid w:val="003D56B8"/>
    <w:rsid w:val="003E7BE7"/>
    <w:rsid w:val="00453E23"/>
    <w:rsid w:val="00467D42"/>
    <w:rsid w:val="004D2D2F"/>
    <w:rsid w:val="004D47BC"/>
    <w:rsid w:val="004E0E3F"/>
    <w:rsid w:val="004E6555"/>
    <w:rsid w:val="004E7405"/>
    <w:rsid w:val="00506CFB"/>
    <w:rsid w:val="0052651F"/>
    <w:rsid w:val="00565CA8"/>
    <w:rsid w:val="00595B56"/>
    <w:rsid w:val="00596987"/>
    <w:rsid w:val="00597B3F"/>
    <w:rsid w:val="005C0AB8"/>
    <w:rsid w:val="005C6A9B"/>
    <w:rsid w:val="005E37D0"/>
    <w:rsid w:val="005F0583"/>
    <w:rsid w:val="00601C16"/>
    <w:rsid w:val="0064102D"/>
    <w:rsid w:val="006601AB"/>
    <w:rsid w:val="00692D6B"/>
    <w:rsid w:val="006B0D46"/>
    <w:rsid w:val="006E3928"/>
    <w:rsid w:val="006E4DCC"/>
    <w:rsid w:val="00720703"/>
    <w:rsid w:val="00755578"/>
    <w:rsid w:val="00755E4F"/>
    <w:rsid w:val="0078526A"/>
    <w:rsid w:val="00786FB8"/>
    <w:rsid w:val="00796BC6"/>
    <w:rsid w:val="007A31B9"/>
    <w:rsid w:val="007B56F5"/>
    <w:rsid w:val="0081513B"/>
    <w:rsid w:val="008248B0"/>
    <w:rsid w:val="00886644"/>
    <w:rsid w:val="008A33A4"/>
    <w:rsid w:val="008B32C1"/>
    <w:rsid w:val="008C25AE"/>
    <w:rsid w:val="008C6AD0"/>
    <w:rsid w:val="008D528A"/>
    <w:rsid w:val="008E0841"/>
    <w:rsid w:val="008E578F"/>
    <w:rsid w:val="008F2445"/>
    <w:rsid w:val="009111F5"/>
    <w:rsid w:val="00912A60"/>
    <w:rsid w:val="00915332"/>
    <w:rsid w:val="009518FE"/>
    <w:rsid w:val="0099409E"/>
    <w:rsid w:val="009C1FDC"/>
    <w:rsid w:val="009D7AA8"/>
    <w:rsid w:val="009F7A6D"/>
    <w:rsid w:val="00A07EBB"/>
    <w:rsid w:val="00A3409B"/>
    <w:rsid w:val="00A64BD6"/>
    <w:rsid w:val="00A72AC2"/>
    <w:rsid w:val="00A73557"/>
    <w:rsid w:val="00A76810"/>
    <w:rsid w:val="00A928B3"/>
    <w:rsid w:val="00AF4ED4"/>
    <w:rsid w:val="00AF7B3F"/>
    <w:rsid w:val="00B06AAB"/>
    <w:rsid w:val="00B16258"/>
    <w:rsid w:val="00B175A3"/>
    <w:rsid w:val="00B4059C"/>
    <w:rsid w:val="00B412E6"/>
    <w:rsid w:val="00B746DD"/>
    <w:rsid w:val="00B749CD"/>
    <w:rsid w:val="00BA0003"/>
    <w:rsid w:val="00BA2572"/>
    <w:rsid w:val="00BA2C64"/>
    <w:rsid w:val="00BC5C71"/>
    <w:rsid w:val="00BE1096"/>
    <w:rsid w:val="00BE5E14"/>
    <w:rsid w:val="00C62A81"/>
    <w:rsid w:val="00CA006C"/>
    <w:rsid w:val="00CA641B"/>
    <w:rsid w:val="00CB114D"/>
    <w:rsid w:val="00CB6F4B"/>
    <w:rsid w:val="00CF178F"/>
    <w:rsid w:val="00D109D3"/>
    <w:rsid w:val="00D207D8"/>
    <w:rsid w:val="00D47D86"/>
    <w:rsid w:val="00D71C25"/>
    <w:rsid w:val="00D7562C"/>
    <w:rsid w:val="00E0407F"/>
    <w:rsid w:val="00E22BCF"/>
    <w:rsid w:val="00E30F25"/>
    <w:rsid w:val="00E43D9A"/>
    <w:rsid w:val="00E600DF"/>
    <w:rsid w:val="00E716B0"/>
    <w:rsid w:val="00EB4CBB"/>
    <w:rsid w:val="00ED7AF9"/>
    <w:rsid w:val="00F25137"/>
    <w:rsid w:val="00F362A4"/>
    <w:rsid w:val="00F92E5D"/>
    <w:rsid w:val="00FC40C8"/>
    <w:rsid w:val="00FC5F6F"/>
    <w:rsid w:val="00FD5EDF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791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Frantalová</dc:creator>
  <cp:lastModifiedBy>Jana Javůrková</cp:lastModifiedBy>
  <cp:revision>22</cp:revision>
  <cp:lastPrinted>2021-09-29T08:22:00Z</cp:lastPrinted>
  <dcterms:created xsi:type="dcterms:W3CDTF">2023-08-15T05:25:00Z</dcterms:created>
  <dcterms:modified xsi:type="dcterms:W3CDTF">2026-04-16T12:19:00Z</dcterms:modified>
</cp:coreProperties>
</file>