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3389B" w14:textId="7965A511" w:rsidR="00B35FB2" w:rsidRPr="00F23A58" w:rsidRDefault="005D66CE" w:rsidP="005D66CE">
      <w:pPr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F23A58">
        <w:rPr>
          <w:rFonts w:asciiTheme="minorHAnsi" w:hAnsiTheme="minorHAnsi" w:cstheme="minorHAnsi"/>
          <w:b/>
          <w:sz w:val="32"/>
          <w:szCs w:val="28"/>
          <w:u w:val="single"/>
        </w:rPr>
        <w:t>Smlouva o dílo</w:t>
      </w:r>
    </w:p>
    <w:p w14:paraId="50B2EF52" w14:textId="7B9407B5" w:rsidR="005D66CE" w:rsidRPr="00F23A58" w:rsidRDefault="005D66CE" w:rsidP="005D66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F8B2AC" w14:textId="4F2DC2B4" w:rsidR="005D66CE" w:rsidRPr="00F23A58" w:rsidRDefault="005D66CE" w:rsidP="005D66CE">
      <w:pPr>
        <w:jc w:val="center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na </w:t>
      </w:r>
      <w:r w:rsidR="000279FD">
        <w:rPr>
          <w:rFonts w:asciiTheme="minorHAnsi" w:hAnsiTheme="minorHAnsi" w:cstheme="minorHAnsi"/>
          <w:sz w:val="22"/>
          <w:szCs w:val="22"/>
        </w:rPr>
        <w:t>veřejnou zakázku malého rozsahu</w:t>
      </w:r>
    </w:p>
    <w:p w14:paraId="11122EE8" w14:textId="47ECAD8A" w:rsidR="005D66CE" w:rsidRDefault="003647BF" w:rsidP="005D66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Rekonstrukce kotelny budovy Obchodní akademie, T. G. Masaryka 1000, Choceň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14:paraId="203BA241" w14:textId="301F990F" w:rsidR="003647BF" w:rsidRDefault="003647BF" w:rsidP="005D66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3FAD3D" w14:textId="77777777" w:rsidR="003647BF" w:rsidRPr="00F23A58" w:rsidRDefault="003647BF" w:rsidP="005D66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7F9C71" w14:textId="746ED302" w:rsidR="005D66CE" w:rsidRPr="00F23A58" w:rsidRDefault="005D66CE" w:rsidP="005D66C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23A58">
        <w:rPr>
          <w:rFonts w:asciiTheme="minorHAnsi" w:hAnsiTheme="minorHAnsi" w:cstheme="minorHAnsi"/>
          <w:b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5D66CE" w:rsidRPr="00F23A58" w14:paraId="26C4FD0F" w14:textId="77777777" w:rsidTr="00232C36">
        <w:tc>
          <w:tcPr>
            <w:tcW w:w="1701" w:type="dxa"/>
          </w:tcPr>
          <w:p w14:paraId="4EE40D18" w14:textId="259CACF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7361" w:type="dxa"/>
            <w:gridSpan w:val="2"/>
          </w:tcPr>
          <w:p w14:paraId="6213A59A" w14:textId="13051B65" w:rsidR="005D66CE" w:rsidRPr="00F23A58" w:rsidRDefault="00F23A58" w:rsidP="005D66CE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Obchodní akademie a Střední odborná škola cestovního ruchu Choceň</w:t>
            </w:r>
          </w:p>
        </w:tc>
      </w:tr>
      <w:tr w:rsidR="005D66CE" w:rsidRPr="00F23A58" w14:paraId="0827D0BE" w14:textId="77777777" w:rsidTr="005D66CE">
        <w:tc>
          <w:tcPr>
            <w:tcW w:w="1701" w:type="dxa"/>
          </w:tcPr>
          <w:p w14:paraId="6E2CE271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F7F985" w14:textId="3A3C48CF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262C2F85" w14:textId="5B4F61D9" w:rsidR="005D66CE" w:rsidRPr="00F23A58" w:rsidRDefault="00F23A58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T. G. Masaryka 1000, 565 01 Choceň</w:t>
            </w:r>
          </w:p>
        </w:tc>
      </w:tr>
      <w:tr w:rsidR="005D66CE" w:rsidRPr="00F23A58" w14:paraId="57F1634E" w14:textId="77777777" w:rsidTr="005D66CE">
        <w:tc>
          <w:tcPr>
            <w:tcW w:w="1701" w:type="dxa"/>
          </w:tcPr>
          <w:p w14:paraId="01022D5E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932313" w14:textId="00EF4B2E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66B56505" w14:textId="3C90BAA8" w:rsidR="005D66CE" w:rsidRPr="00F23A58" w:rsidRDefault="00F23A58" w:rsidP="00AE0CB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Ing. Markétou Drahošovou, ředitelkou školy</w:t>
            </w:r>
          </w:p>
        </w:tc>
      </w:tr>
      <w:tr w:rsidR="005D66CE" w:rsidRPr="00F23A58" w14:paraId="0DD30A68" w14:textId="77777777" w:rsidTr="005D66CE">
        <w:tc>
          <w:tcPr>
            <w:tcW w:w="1701" w:type="dxa"/>
          </w:tcPr>
          <w:p w14:paraId="47AEDEDF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A8F591" w14:textId="7A618691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5EE18C5F" w14:textId="064B8CA6" w:rsidR="005D66CE" w:rsidRPr="00F23A58" w:rsidRDefault="00F23A58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49314661</w:t>
            </w:r>
          </w:p>
        </w:tc>
      </w:tr>
      <w:tr w:rsidR="005D66CE" w:rsidRPr="00F23A58" w14:paraId="6DF3B380" w14:textId="77777777" w:rsidTr="005D66CE">
        <w:tc>
          <w:tcPr>
            <w:tcW w:w="1701" w:type="dxa"/>
          </w:tcPr>
          <w:p w14:paraId="3EE15BA6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85C552" w14:textId="75C475B7" w:rsidR="005D66CE" w:rsidRPr="00F23A58" w:rsidRDefault="005D66CE" w:rsidP="00AE0CB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="00AE0CB0" w:rsidRPr="00F23A58">
              <w:rPr>
                <w:rFonts w:asciiTheme="minorHAnsi" w:hAnsiTheme="minorHAnsi" w:cstheme="minorHAnsi"/>
                <w:sz w:val="22"/>
                <w:szCs w:val="22"/>
              </w:rPr>
              <w:t>Č:</w:t>
            </w:r>
          </w:p>
        </w:tc>
        <w:tc>
          <w:tcPr>
            <w:tcW w:w="5234" w:type="dxa"/>
          </w:tcPr>
          <w:p w14:paraId="34EFC8B6" w14:textId="5AB329A5" w:rsidR="005D66CE" w:rsidRPr="00F23A58" w:rsidRDefault="00AE0CB0" w:rsidP="00F23A58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CZ7</w:t>
            </w:r>
            <w:r w:rsidR="00F23A58">
              <w:rPr>
                <w:rFonts w:asciiTheme="minorHAnsi" w:hAnsiTheme="minorHAnsi" w:cstheme="minorHAnsi"/>
                <w:sz w:val="22"/>
              </w:rPr>
              <w:t>49314661</w:t>
            </w:r>
          </w:p>
        </w:tc>
      </w:tr>
      <w:tr w:rsidR="00D15FE2" w:rsidRPr="00F23A58" w14:paraId="5F353BC2" w14:textId="77777777" w:rsidTr="005D66CE">
        <w:tc>
          <w:tcPr>
            <w:tcW w:w="1701" w:type="dxa"/>
          </w:tcPr>
          <w:p w14:paraId="38B51B1B" w14:textId="77777777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DD9CF9" w14:textId="75905703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4EDBBED8" w14:textId="5C068314" w:rsidR="00D15FE2" w:rsidRPr="00F23A58" w:rsidRDefault="00585AFD" w:rsidP="00D15FE2">
            <w:pPr>
              <w:spacing w:before="20" w:after="20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K</w:t>
            </w:r>
            <w:r w:rsidR="00D15FE2" w:rsidRPr="00F23A58">
              <w:rPr>
                <w:rFonts w:asciiTheme="minorHAnsi" w:hAnsiTheme="minorHAnsi" w:cstheme="minorHAnsi"/>
                <w:sz w:val="22"/>
              </w:rPr>
              <w:t>B a.s.</w:t>
            </w:r>
          </w:p>
        </w:tc>
      </w:tr>
      <w:tr w:rsidR="00D15FE2" w:rsidRPr="00F23A58" w14:paraId="12A9AEA3" w14:textId="77777777" w:rsidTr="005D66CE">
        <w:tc>
          <w:tcPr>
            <w:tcW w:w="1701" w:type="dxa"/>
          </w:tcPr>
          <w:p w14:paraId="5091F278" w14:textId="77777777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0FB82B" w14:textId="77777777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4" w:type="dxa"/>
          </w:tcPr>
          <w:p w14:paraId="1819038B" w14:textId="54CAFF9A" w:rsidR="00D15FE2" w:rsidRPr="00F23A58" w:rsidRDefault="00D15FE2" w:rsidP="00F23A58">
            <w:pPr>
              <w:spacing w:before="20" w:after="20"/>
              <w:rPr>
                <w:rFonts w:asciiTheme="minorHAnsi" w:hAnsiTheme="minorHAnsi" w:cstheme="minorHAnsi"/>
                <w:sz w:val="22"/>
              </w:rPr>
            </w:pPr>
            <w:proofErr w:type="spellStart"/>
            <w:proofErr w:type="gramStart"/>
            <w:r w:rsidRPr="00F23A58">
              <w:rPr>
                <w:rFonts w:asciiTheme="minorHAnsi" w:hAnsiTheme="minorHAnsi" w:cstheme="minorHAnsi"/>
                <w:sz w:val="22"/>
              </w:rPr>
              <w:t>č.ú</w:t>
            </w:r>
            <w:proofErr w:type="spellEnd"/>
            <w:r w:rsidRPr="00F23A58">
              <w:rPr>
                <w:rFonts w:asciiTheme="minorHAnsi" w:hAnsiTheme="minorHAnsi" w:cstheme="minorHAnsi"/>
                <w:sz w:val="22"/>
              </w:rPr>
              <w:t xml:space="preserve">.: </w:t>
            </w:r>
            <w:r w:rsidR="00F23A58">
              <w:rPr>
                <w:rFonts w:asciiTheme="minorHAnsi" w:hAnsiTheme="minorHAnsi" w:cstheme="minorHAnsi"/>
                <w:sz w:val="22"/>
              </w:rPr>
              <w:t>27</w:t>
            </w:r>
            <w:proofErr w:type="gramEnd"/>
            <w:r w:rsidR="00585AFD" w:rsidRPr="00F23A58">
              <w:rPr>
                <w:rFonts w:asciiTheme="minorHAnsi" w:hAnsiTheme="minorHAnsi" w:cstheme="minorHAnsi"/>
                <w:sz w:val="22"/>
              </w:rPr>
              <w:t>-</w:t>
            </w:r>
            <w:r w:rsidR="00F23A58">
              <w:rPr>
                <w:rFonts w:asciiTheme="minorHAnsi" w:hAnsiTheme="minorHAnsi" w:cstheme="minorHAnsi"/>
                <w:sz w:val="22"/>
              </w:rPr>
              <w:t>1254690237</w:t>
            </w:r>
            <w:r w:rsidR="00585AFD" w:rsidRPr="00F23A58">
              <w:rPr>
                <w:rFonts w:asciiTheme="minorHAnsi" w:hAnsiTheme="minorHAnsi" w:cstheme="minorHAnsi"/>
                <w:sz w:val="22"/>
              </w:rPr>
              <w:t>/0100</w:t>
            </w:r>
          </w:p>
        </w:tc>
      </w:tr>
    </w:tbl>
    <w:p w14:paraId="2186DB12" w14:textId="7FD94B18" w:rsidR="005D66CE" w:rsidRPr="00F23A58" w:rsidRDefault="005D66CE" w:rsidP="001D1106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2104"/>
        <w:gridCol w:w="5423"/>
      </w:tblGrid>
      <w:tr w:rsidR="00AE0CB0" w:rsidRPr="00F23A58" w14:paraId="564753CA" w14:textId="77777777" w:rsidTr="00C916AE">
        <w:tc>
          <w:tcPr>
            <w:tcW w:w="1701" w:type="dxa"/>
          </w:tcPr>
          <w:p w14:paraId="0178A178" w14:textId="6FCD83A3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Zhotovitel:</w:t>
            </w:r>
          </w:p>
        </w:tc>
        <w:tc>
          <w:tcPr>
            <w:tcW w:w="7655" w:type="dxa"/>
            <w:gridSpan w:val="2"/>
          </w:tcPr>
          <w:p w14:paraId="0BD71B84" w14:textId="7225A90A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69DDB886" w14:textId="77777777" w:rsidTr="00C916AE">
        <w:tc>
          <w:tcPr>
            <w:tcW w:w="1701" w:type="dxa"/>
          </w:tcPr>
          <w:p w14:paraId="096645FB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72D2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541CA473" w14:textId="278CE44F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3751C532" w14:textId="77777777" w:rsidTr="00C916AE">
        <w:tc>
          <w:tcPr>
            <w:tcW w:w="1701" w:type="dxa"/>
          </w:tcPr>
          <w:p w14:paraId="79FCEA55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6B02B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zastoupen:</w:t>
            </w:r>
          </w:p>
        </w:tc>
        <w:tc>
          <w:tcPr>
            <w:tcW w:w="5528" w:type="dxa"/>
          </w:tcPr>
          <w:p w14:paraId="59915409" w14:textId="4A889B2D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1A5539EE" w14:textId="77777777" w:rsidTr="00C916AE">
        <w:tc>
          <w:tcPr>
            <w:tcW w:w="1701" w:type="dxa"/>
          </w:tcPr>
          <w:p w14:paraId="5706E688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C6C14E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69F29544" w14:textId="5F16C6BC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1BE34F07" w14:textId="77777777" w:rsidTr="00C916AE">
        <w:tc>
          <w:tcPr>
            <w:tcW w:w="1701" w:type="dxa"/>
          </w:tcPr>
          <w:p w14:paraId="529C2C56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5DC704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5528" w:type="dxa"/>
          </w:tcPr>
          <w:p w14:paraId="44A8D43F" w14:textId="47E8FAF7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60357C86" w14:textId="77777777" w:rsidTr="00C916AE">
        <w:tc>
          <w:tcPr>
            <w:tcW w:w="1701" w:type="dxa"/>
          </w:tcPr>
          <w:p w14:paraId="06347EBF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EF230E" w14:textId="36B4F5A4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zápis v OR:</w:t>
            </w:r>
          </w:p>
        </w:tc>
        <w:tc>
          <w:tcPr>
            <w:tcW w:w="5528" w:type="dxa"/>
          </w:tcPr>
          <w:p w14:paraId="3F20965E" w14:textId="2BFDB37A" w:rsidR="00AE0CB0" w:rsidRPr="00F23A58" w:rsidRDefault="00A81E90" w:rsidP="00F23A58">
            <w:pPr>
              <w:spacing w:before="20" w:after="20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  <w:r w:rsid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</w:t>
            </w:r>
            <w:r w:rsidR="00AE0CB0" w:rsidRPr="00F23A58">
              <w:rPr>
                <w:rFonts w:asciiTheme="minorHAnsi" w:hAnsiTheme="minorHAnsi" w:cstheme="minorHAnsi"/>
                <w:color w:val="000000"/>
                <w:sz w:val="22"/>
                <w:highlight w:val="green"/>
              </w:rPr>
              <w:t xml:space="preserve">(rejstříkový soud, spis. </w:t>
            </w:r>
            <w:proofErr w:type="gramStart"/>
            <w:r w:rsidR="00AE0CB0" w:rsidRPr="00F23A58">
              <w:rPr>
                <w:rFonts w:asciiTheme="minorHAnsi" w:hAnsiTheme="minorHAnsi" w:cstheme="minorHAnsi"/>
                <w:color w:val="000000"/>
                <w:sz w:val="22"/>
                <w:highlight w:val="green"/>
              </w:rPr>
              <w:t>značka</w:t>
            </w:r>
            <w:proofErr w:type="gramEnd"/>
            <w:r w:rsidR="00AE0CB0" w:rsidRPr="00F23A58">
              <w:rPr>
                <w:rFonts w:asciiTheme="minorHAnsi" w:hAnsiTheme="minorHAnsi" w:cstheme="minorHAnsi"/>
                <w:color w:val="000000"/>
                <w:sz w:val="22"/>
                <w:highlight w:val="green"/>
              </w:rPr>
              <w:t>)</w:t>
            </w:r>
          </w:p>
        </w:tc>
      </w:tr>
      <w:tr w:rsidR="00AE0CB0" w:rsidRPr="00F23A58" w14:paraId="185AA7E6" w14:textId="77777777" w:rsidTr="00C916AE">
        <w:tc>
          <w:tcPr>
            <w:tcW w:w="1701" w:type="dxa"/>
          </w:tcPr>
          <w:p w14:paraId="7A5B86B9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4C567A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5528" w:type="dxa"/>
          </w:tcPr>
          <w:p w14:paraId="1F9E561F" w14:textId="07F5943F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50F0117F" w14:textId="77777777" w:rsidTr="00C916AE">
        <w:tc>
          <w:tcPr>
            <w:tcW w:w="1701" w:type="dxa"/>
          </w:tcPr>
          <w:p w14:paraId="68E7E4B7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E293B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2C093BA" w14:textId="78CB3C4D" w:rsidR="00AE0CB0" w:rsidRPr="00F23A58" w:rsidRDefault="00AE0CB0" w:rsidP="00C916AE">
            <w:pPr>
              <w:spacing w:before="20" w:after="20"/>
              <w:ind w:right="-40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č.ú</w:t>
            </w:r>
            <w:proofErr w:type="spellEnd"/>
            <w:r w:rsidRPr="00F23A5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81E90"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</w:t>
            </w:r>
            <w:proofErr w:type="gramEnd"/>
            <w:r w:rsidR="00A81E90"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doplněno)</w:t>
            </w:r>
            <w:r w:rsidR="00F23A58"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</w:t>
            </w:r>
            <w:r w:rsidR="00A81E90" w:rsidRPr="00F23A58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 </w:t>
            </w:r>
            <w:r w:rsidRPr="00F23A58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(zveřejněný účet dle zákona o DPH)</w:t>
            </w:r>
          </w:p>
        </w:tc>
      </w:tr>
    </w:tbl>
    <w:p w14:paraId="30DD436C" w14:textId="77777777" w:rsidR="00AE0CB0" w:rsidRPr="00F23A58" w:rsidRDefault="00AE0CB0" w:rsidP="001D110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25F86E5" w14:textId="1BB00953" w:rsidR="0037269F" w:rsidRPr="0092665B" w:rsidRDefault="0037269F" w:rsidP="0092665B">
      <w:pPr>
        <w:spacing w:after="120"/>
        <w:rPr>
          <w:rFonts w:asciiTheme="minorHAnsi" w:hAnsiTheme="minorHAnsi" w:cstheme="minorHAnsi"/>
          <w:b/>
        </w:rPr>
      </w:pPr>
      <w:r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Objednatel jako zadavatel veřejné zakázky </w:t>
      </w:r>
      <w:r w:rsidR="00923343" w:rsidRPr="00F23A58">
        <w:rPr>
          <w:rFonts w:asciiTheme="minorHAnsi" w:hAnsiTheme="minorHAnsi" w:cstheme="minorHAnsi"/>
          <w:b/>
          <w:sz w:val="22"/>
          <w:szCs w:val="22"/>
        </w:rPr>
        <w:t>„</w:t>
      </w:r>
      <w:r w:rsidR="003647BF">
        <w:rPr>
          <w:rFonts w:asciiTheme="minorHAnsi" w:hAnsiTheme="minorHAnsi" w:cstheme="minorHAnsi"/>
          <w:b/>
          <w:sz w:val="22"/>
          <w:szCs w:val="22"/>
        </w:rPr>
        <w:t>Rekonstrukce kotelny budovy Obchodní akademie, T. G. Masaryka 1000, Choceň</w:t>
      </w:r>
      <w:r w:rsidR="00923343" w:rsidRPr="00F23A58">
        <w:rPr>
          <w:rFonts w:asciiTheme="minorHAnsi" w:hAnsiTheme="minorHAnsi" w:cstheme="minorHAnsi"/>
          <w:b/>
          <w:sz w:val="22"/>
          <w:szCs w:val="22"/>
        </w:rPr>
        <w:t>“</w:t>
      </w:r>
      <w:r w:rsidR="00923343" w:rsidRPr="00F23A5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23343" w:rsidRPr="00F23A58">
        <w:rPr>
          <w:rFonts w:asciiTheme="minorHAnsi" w:hAnsiTheme="minorHAnsi" w:cstheme="minorHAnsi"/>
          <w:color w:val="000000"/>
          <w:sz w:val="22"/>
          <w:szCs w:val="22"/>
        </w:rPr>
        <w:t>(systémové</w:t>
      </w:r>
      <w:r w:rsidR="005D66CE"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 číslo </w:t>
      </w:r>
      <w:r w:rsidR="00C916AE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P25V00000</w:t>
      </w:r>
      <w:r w:rsidR="00CA7BDD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45</w:t>
      </w:r>
      <w:r w:rsidR="003647B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8</w:t>
      </w:r>
      <w:r w:rsidR="005D66CE" w:rsidRPr="00F23A58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a</w:t>
      </w:r>
      <w:r w:rsidR="00C916AE">
        <w:rPr>
          <w:rFonts w:asciiTheme="minorHAnsi" w:hAnsiTheme="minorHAnsi" w:cstheme="minorHAnsi"/>
          <w:color w:val="000000"/>
          <w:spacing w:val="-2"/>
          <w:sz w:val="22"/>
          <w:szCs w:val="22"/>
        </w:rPr>
        <w:t> </w:t>
      </w:r>
      <w:r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zhotovitel jako vybraný dodavatel uzavírají tuto </w:t>
      </w:r>
      <w:r w:rsidR="00A87D42"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>mlou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vu o dílo (dále jen „</w:t>
      </w:r>
      <w:r w:rsidR="00A87D42" w:rsidRPr="00F23A5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mlouva“), kterou se zhotovitel zavazuje</w:t>
      </w:r>
      <w:r w:rsidR="00377E9D"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 řádně a včas, na svůj náklad a 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nebezpečí provést pro objednatele dílo dle </w:t>
      </w:r>
      <w:r w:rsidR="00114860" w:rsidRPr="00F23A58">
        <w:rPr>
          <w:rFonts w:asciiTheme="minorHAnsi" w:hAnsiTheme="minorHAnsi" w:cstheme="minorHAnsi"/>
          <w:color w:val="000000"/>
          <w:sz w:val="22"/>
          <w:szCs w:val="22"/>
        </w:rPr>
        <w:t>podmínek této s</w:t>
      </w:r>
      <w:r w:rsidR="00377E9D" w:rsidRPr="00F23A58">
        <w:rPr>
          <w:rFonts w:asciiTheme="minorHAnsi" w:hAnsiTheme="minorHAnsi" w:cstheme="minorHAnsi"/>
          <w:color w:val="000000"/>
          <w:sz w:val="22"/>
          <w:szCs w:val="22"/>
        </w:rPr>
        <w:t>mlouvy a jejích příloh a 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objednate</w:t>
      </w:r>
      <w:r w:rsidR="00114860" w:rsidRPr="00F23A58">
        <w:rPr>
          <w:rFonts w:asciiTheme="minorHAnsi" w:hAnsiTheme="minorHAnsi" w:cstheme="minorHAnsi"/>
          <w:color w:val="000000"/>
          <w:sz w:val="22"/>
          <w:szCs w:val="22"/>
        </w:rPr>
        <w:t>l se zavazuje za podmínek této s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mlouvy dílo převzít a zaplatit zhotoviteli dohodnutou cenu za jeho provedení.</w:t>
      </w:r>
    </w:p>
    <w:p w14:paraId="623536A3" w14:textId="77777777" w:rsidR="00CA239C" w:rsidRPr="00F23A58" w:rsidRDefault="00CA239C" w:rsidP="00CA23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42FAE" w14:textId="29139093" w:rsidR="0037269F" w:rsidRPr="00F23A58" w:rsidRDefault="00AE0CB0" w:rsidP="00481278">
      <w:pPr>
        <w:pStyle w:val="Odstavecseseznamem"/>
        <w:keepNext/>
        <w:numPr>
          <w:ilvl w:val="0"/>
          <w:numId w:val="15"/>
        </w:numPr>
        <w:spacing w:after="120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P</w:t>
      </w:r>
      <w:r w:rsidR="0037269F" w:rsidRPr="00F23A58">
        <w:rPr>
          <w:rFonts w:asciiTheme="minorHAnsi" w:hAnsiTheme="minorHAnsi" w:cstheme="minorHAnsi"/>
          <w:b/>
          <w:u w:val="single"/>
        </w:rPr>
        <w:t>ředmět</w:t>
      </w:r>
      <w:r w:rsidRPr="00F23A58">
        <w:rPr>
          <w:rFonts w:asciiTheme="minorHAnsi" w:hAnsiTheme="minorHAnsi" w:cstheme="minorHAnsi"/>
          <w:b/>
          <w:u w:val="single"/>
        </w:rPr>
        <w:t xml:space="preserve"> díla</w:t>
      </w:r>
    </w:p>
    <w:p w14:paraId="0345E0BC" w14:textId="6F8800B2" w:rsidR="0037269F" w:rsidRDefault="0037269F" w:rsidP="001D11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Předmětem díla je</w:t>
      </w:r>
      <w:r w:rsidR="0092665B" w:rsidRPr="0092665B">
        <w:rPr>
          <w:rFonts w:asciiTheme="minorHAnsi" w:hAnsiTheme="minorHAnsi" w:cstheme="minorHAnsi"/>
          <w:b/>
        </w:rPr>
        <w:t xml:space="preserve"> </w:t>
      </w:r>
      <w:r w:rsidR="003647BF">
        <w:rPr>
          <w:rFonts w:asciiTheme="minorHAnsi" w:hAnsiTheme="minorHAnsi" w:cstheme="minorHAnsi"/>
          <w:b/>
          <w:sz w:val="22"/>
          <w:szCs w:val="22"/>
        </w:rPr>
        <w:t>Rekonstrukce kotelny budovy Obchodní akademie, T. G. Masaryka 1000, Choceň</w:t>
      </w:r>
      <w:r w:rsidR="00F23A58">
        <w:rPr>
          <w:rFonts w:asciiTheme="minorHAnsi" w:hAnsiTheme="minorHAnsi" w:cstheme="minorHAnsi"/>
          <w:sz w:val="20"/>
          <w:szCs w:val="22"/>
        </w:rPr>
        <w:t xml:space="preserve">, </w:t>
      </w:r>
      <w:r w:rsidR="005B3ABB" w:rsidRPr="00F23A58">
        <w:rPr>
          <w:rFonts w:asciiTheme="minorHAnsi" w:hAnsiTheme="minorHAnsi" w:cstheme="minorHAnsi"/>
          <w:sz w:val="22"/>
          <w:szCs w:val="22"/>
        </w:rPr>
        <w:t>v rozsahu určeném soupisem prací</w:t>
      </w:r>
      <w:r w:rsidR="000279FD">
        <w:rPr>
          <w:rFonts w:asciiTheme="minorHAnsi" w:hAnsiTheme="minorHAnsi" w:cstheme="minorHAnsi"/>
          <w:sz w:val="22"/>
          <w:szCs w:val="22"/>
        </w:rPr>
        <w:t xml:space="preserve"> a technickou specifikací zakázky, která je součástí této smlouvy.</w:t>
      </w:r>
    </w:p>
    <w:p w14:paraId="00693D6C" w14:textId="40C47445" w:rsidR="0092665B" w:rsidRPr="0092665B" w:rsidRDefault="0092665B" w:rsidP="0092665B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665B">
        <w:rPr>
          <w:rFonts w:asciiTheme="minorHAnsi" w:hAnsiTheme="minorHAnsi" w:cstheme="minorHAnsi"/>
          <w:sz w:val="22"/>
          <w:szCs w:val="22"/>
        </w:rPr>
        <w:t xml:space="preserve">Dílo bude provedeno v rozsahu dle projektové dokumentace zhotovené společností </w:t>
      </w:r>
      <w:r w:rsidR="003647BF">
        <w:rPr>
          <w:rFonts w:asciiTheme="minorHAnsi" w:hAnsiTheme="minorHAnsi" w:cstheme="minorHAnsi"/>
          <w:sz w:val="22"/>
          <w:szCs w:val="22"/>
        </w:rPr>
        <w:t xml:space="preserve">VATOP – projekční kancelář, Ing. Jan Vašata, Slov. </w:t>
      </w:r>
      <w:proofErr w:type="spellStart"/>
      <w:proofErr w:type="gramStart"/>
      <w:r w:rsidR="003647BF">
        <w:rPr>
          <w:rFonts w:asciiTheme="minorHAnsi" w:hAnsiTheme="minorHAnsi" w:cstheme="minorHAnsi"/>
          <w:sz w:val="22"/>
          <w:szCs w:val="22"/>
        </w:rPr>
        <w:t>nár</w:t>
      </w:r>
      <w:proofErr w:type="spellEnd"/>
      <w:proofErr w:type="gramEnd"/>
      <w:r w:rsidR="003647BF">
        <w:rPr>
          <w:rFonts w:asciiTheme="minorHAnsi" w:hAnsiTheme="minorHAnsi" w:cstheme="minorHAnsi"/>
          <w:sz w:val="22"/>
          <w:szCs w:val="22"/>
        </w:rPr>
        <w:t>. povstání 627, 566 01 Vysoké Mýto, IČO: 11145692</w:t>
      </w:r>
    </w:p>
    <w:p w14:paraId="1FAB5232" w14:textId="77777777" w:rsidR="0092665B" w:rsidRPr="0092665B" w:rsidRDefault="0092665B" w:rsidP="0092665B">
      <w:pPr>
        <w:ind w:left="70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2665B">
        <w:rPr>
          <w:rFonts w:asciiTheme="minorHAnsi" w:hAnsiTheme="minorHAnsi"/>
          <w:color w:val="000000" w:themeColor="text1"/>
          <w:sz w:val="22"/>
          <w:szCs w:val="22"/>
        </w:rPr>
        <w:t>a zahrnuje:</w:t>
      </w:r>
    </w:p>
    <w:p w14:paraId="0A7D12F2" w14:textId="7B02463D" w:rsidR="0092665B" w:rsidRPr="00AB43F5" w:rsidRDefault="0092665B" w:rsidP="0092665B">
      <w:pPr>
        <w:pStyle w:val="Odstavecseseznamem"/>
        <w:numPr>
          <w:ilvl w:val="0"/>
          <w:numId w:val="19"/>
        </w:numPr>
        <w:ind w:left="705" w:firstLine="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B43F5">
        <w:rPr>
          <w:rFonts w:asciiTheme="minorHAnsi" w:hAnsiTheme="minorHAnsi"/>
          <w:color w:val="000000" w:themeColor="text1"/>
          <w:sz w:val="22"/>
          <w:szCs w:val="22"/>
        </w:rPr>
        <w:t xml:space="preserve">realizaci stavby kompletní </w:t>
      </w:r>
      <w:r w:rsidR="003647BF">
        <w:rPr>
          <w:rFonts w:asciiTheme="minorHAnsi" w:hAnsiTheme="minorHAnsi"/>
          <w:color w:val="000000" w:themeColor="text1"/>
          <w:sz w:val="22"/>
          <w:szCs w:val="22"/>
        </w:rPr>
        <w:t xml:space="preserve">rekonstrukci kotelny </w:t>
      </w:r>
      <w:r w:rsidRPr="00AB43F5">
        <w:rPr>
          <w:rFonts w:asciiTheme="minorHAnsi" w:hAnsiTheme="minorHAnsi"/>
          <w:color w:val="000000" w:themeColor="text1"/>
          <w:sz w:val="22"/>
          <w:szCs w:val="22"/>
        </w:rPr>
        <w:t>objektu</w:t>
      </w:r>
    </w:p>
    <w:p w14:paraId="42A4D8A3" w14:textId="2C6B9C14" w:rsidR="0092665B" w:rsidRPr="00AB43F5" w:rsidRDefault="0092665B" w:rsidP="0092665B">
      <w:pPr>
        <w:pStyle w:val="Odstavecseseznamem"/>
        <w:numPr>
          <w:ilvl w:val="0"/>
          <w:numId w:val="19"/>
        </w:numPr>
        <w:ind w:left="705" w:firstLine="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B43F5">
        <w:rPr>
          <w:rFonts w:asciiTheme="minorHAnsi" w:hAnsiTheme="minorHAnsi"/>
          <w:color w:val="000000" w:themeColor="text1"/>
          <w:sz w:val="22"/>
          <w:szCs w:val="22"/>
        </w:rPr>
        <w:t>řešení všech detailů, stávajících prostupů technických zařízení stavby</w:t>
      </w:r>
    </w:p>
    <w:p w14:paraId="4917B4DD" w14:textId="70D68BDD" w:rsidR="0092665B" w:rsidRPr="00AB43F5" w:rsidRDefault="0092665B" w:rsidP="0092665B">
      <w:pPr>
        <w:pStyle w:val="Odstavecseseznamem"/>
        <w:numPr>
          <w:ilvl w:val="0"/>
          <w:numId w:val="19"/>
        </w:numPr>
        <w:ind w:left="705" w:firstLine="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B43F5">
        <w:rPr>
          <w:rFonts w:asciiTheme="minorHAnsi" w:hAnsiTheme="minorHAnsi"/>
          <w:color w:val="000000" w:themeColor="text1"/>
          <w:sz w:val="22"/>
          <w:szCs w:val="22"/>
        </w:rPr>
        <w:t>řešení detailů návaznosti nových konstrukcí na stávající</w:t>
      </w:r>
    </w:p>
    <w:p w14:paraId="6BD691B0" w14:textId="77BD7004" w:rsidR="0092665B" w:rsidRPr="00AB43F5" w:rsidRDefault="0092665B" w:rsidP="0092665B">
      <w:pPr>
        <w:pStyle w:val="Odstavecseseznamem"/>
        <w:numPr>
          <w:ilvl w:val="0"/>
          <w:numId w:val="19"/>
        </w:numPr>
        <w:ind w:left="705" w:firstLine="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B43F5">
        <w:rPr>
          <w:rFonts w:asciiTheme="minorHAnsi" w:hAnsiTheme="minorHAnsi"/>
          <w:color w:val="000000" w:themeColor="text1"/>
          <w:sz w:val="22"/>
          <w:szCs w:val="22"/>
        </w:rPr>
        <w:t>veškeré montážní, bezpečnostní, ochranné a krycí prvky potřebné v době stavby</w:t>
      </w:r>
    </w:p>
    <w:p w14:paraId="5D0704CD" w14:textId="77777777" w:rsidR="0092665B" w:rsidRPr="00AB43F5" w:rsidRDefault="0092665B" w:rsidP="000279FD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14:paraId="29C9F402" w14:textId="6C0F3648" w:rsidR="0092665B" w:rsidRPr="00AB43F5" w:rsidRDefault="0092665B" w:rsidP="0092665B">
      <w:pPr>
        <w:ind w:firstLine="426"/>
        <w:jc w:val="both"/>
        <w:rPr>
          <w:rFonts w:asciiTheme="minorHAnsi" w:hAnsiTheme="minorHAnsi"/>
          <w:sz w:val="22"/>
          <w:szCs w:val="22"/>
        </w:rPr>
      </w:pPr>
      <w:r w:rsidRPr="00AB43F5">
        <w:rPr>
          <w:rFonts w:asciiTheme="minorHAnsi" w:hAnsiTheme="minorHAnsi"/>
          <w:sz w:val="22"/>
          <w:szCs w:val="22"/>
        </w:rPr>
        <w:t>Oc</w:t>
      </w:r>
      <w:r w:rsidRPr="00AB43F5">
        <w:rPr>
          <w:rFonts w:asciiTheme="minorHAnsi" w:hAnsiTheme="minorHAnsi"/>
          <w:sz w:val="22"/>
        </w:rPr>
        <w:t>eněné soupisy stavebních prací s výkazem výměr jsou</w:t>
      </w:r>
      <w:r w:rsidRPr="00AB43F5">
        <w:rPr>
          <w:rFonts w:asciiTheme="minorHAnsi" w:hAnsiTheme="minorHAnsi"/>
          <w:sz w:val="22"/>
          <w:szCs w:val="22"/>
        </w:rPr>
        <w:t xml:space="preserve"> přílohou č. 1 této smlouvy.</w:t>
      </w:r>
    </w:p>
    <w:p w14:paraId="1EA253FB" w14:textId="77777777" w:rsidR="0092665B" w:rsidRPr="0092665B" w:rsidRDefault="0092665B" w:rsidP="0092665B">
      <w:pPr>
        <w:ind w:firstLine="426"/>
        <w:jc w:val="both"/>
        <w:rPr>
          <w:rFonts w:asciiTheme="minorHAnsi" w:hAnsiTheme="minorHAnsi"/>
          <w:szCs w:val="22"/>
        </w:rPr>
      </w:pPr>
    </w:p>
    <w:p w14:paraId="6CD12CCF" w14:textId="360AF287" w:rsidR="000279FD" w:rsidRDefault="000279FD" w:rsidP="000279FD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279F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Předmětem díla jsou rovněž činnosti a práce, které nejsou výše uvedeny, ale o kterých dodavatel věděl nebo podle svých odborných znalostí vědět měl anebo mohl, že jsou k řádnému a kvalitnímu </w:t>
      </w:r>
      <w:r w:rsidRPr="000279FD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provedení díla dané povahy třeba a dále, které jsou s řádným provedením díla nutně spojeny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0279FD">
        <w:rPr>
          <w:rFonts w:asciiTheme="minorHAnsi" w:eastAsiaTheme="minorHAnsi" w:hAnsiTheme="minorHAnsi" w:cstheme="minorHAnsi"/>
          <w:sz w:val="22"/>
          <w:szCs w:val="22"/>
          <w:lang w:eastAsia="en-US"/>
        </w:rPr>
        <w:t>vyplývají ze standardní praxe realizace děl analogického charakteru, přičemž provedení těchto prací nezvyšuje cenu za provedení díla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96834E4" w14:textId="77777777" w:rsidR="00881429" w:rsidRDefault="00881429" w:rsidP="000279FD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51B8B95" w14:textId="0459748C" w:rsidR="00881429" w:rsidRPr="00881429" w:rsidRDefault="00881429" w:rsidP="0088142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Smluvní strany se dohodly na těchto podmínkách provedení díla:</w:t>
      </w:r>
    </w:p>
    <w:p w14:paraId="59B9D220" w14:textId="77777777" w:rsidR="00881429" w:rsidRDefault="00881429" w:rsidP="008814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bude provádět práce v místě plnění pouze v provozní době místa plnění, přičemž tato doba bude upřesněna ze strany zadavatele při předání a převzetí místa provádění díla v protokolu o předání a převzetí místa provádění díla.</w:t>
      </w:r>
    </w:p>
    <w:p w14:paraId="45A309B3" w14:textId="0AEC2031" w:rsidR="00881429" w:rsidRDefault="00881429" w:rsidP="008814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Dílo bude dodavatelem předáno zadavateli až po odstranění všech zjištěných vad a nedodělků (i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opakovaně), a to podpisem protokolu o předání a převzetí díla bez vad a nedodělků poslední ze smluvních stran (dále jen „protokol o předání a převzetí díla“). Protokol o předání a převzetí díla vypracuje dodavatel.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33380D7A" w14:textId="4E0E2484" w:rsidR="00881429" w:rsidRPr="00881429" w:rsidRDefault="00881429" w:rsidP="00881429">
      <w:pPr>
        <w:pStyle w:val="Odstavecseseznamem"/>
        <w:autoSpaceDE w:val="0"/>
        <w:autoSpaceDN w:val="0"/>
        <w:adjustRightInd w:val="0"/>
        <w:spacing w:before="240"/>
        <w:ind w:left="425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Pokud bude při předávání díla zjištěna vada nebo nedodělek, bude tato skutečnost uvedena do protokolu o předání a převzetí díla a předávací řízení bude přerušeno, tj. dílo nebude předáno. Předávací řízení bude pokračovat až po úplném odstranění všech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zjištěných vad a nedodělků dodavatelem. Zadavatel je povinen protokol o předání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převzetí díla podepsat nejpozději následující pracovní den po dni, ve kterém se přesvědčí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o řádném odstranění všech vad či nedodělků díla.</w:t>
      </w:r>
    </w:p>
    <w:p w14:paraId="5E7CD769" w14:textId="0C85E9EE" w:rsidR="00881429" w:rsidRPr="00881429" w:rsidRDefault="00881429" w:rsidP="00881429">
      <w:pPr>
        <w:autoSpaceDE w:val="0"/>
        <w:autoSpaceDN w:val="0"/>
        <w:adjustRightInd w:val="0"/>
        <w:spacing w:before="240"/>
        <w:ind w:left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Při předání díla je dodavatel povinen předložit a předat zadavateli prohlášení 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shodě použitého materiálu.</w:t>
      </w:r>
    </w:p>
    <w:p w14:paraId="400A6175" w14:textId="07F28E60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po celou dobu plnění smlouvy dodržovat její ustanovení, všechny příslušné právní předpisy, normy a technologické postupy stanovené platnými technickými normami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závaznými ČSN.</w:t>
      </w:r>
    </w:p>
    <w:p w14:paraId="22B8CF31" w14:textId="77777777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odpovídá od okamžiku převzetí místa provádění díla dodavatelem až do okamžiku převzetí díla zadavatelem za dodržení všech zákonných podmínek BOZP a PO.</w:t>
      </w:r>
    </w:p>
    <w:p w14:paraId="4D5C2E43" w14:textId="77777777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na své náklady odstranit, naložit, odvézt a zajistit likvidaci veškerého odpadu a nečistot, které při provádění díla jeho činností vzniknou. Dodavatel je odpovědný jako původce odpadu za nezávadnou likvidaci veškerého odpadu vzniklého v souvislosti s realizací díla v souladu s platnou legislativou.</w:t>
      </w:r>
    </w:p>
    <w:p w14:paraId="0AA0560B" w14:textId="028B23BA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na své náklady v průběhu provádění díla udržovat pořádek v místě plnění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jeho okolí a provést závěrečný úklid místa plnění a jeho okolí, pokud bude v souvislosti s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prováděním díla znečištěno.</w:t>
      </w:r>
    </w:p>
    <w:p w14:paraId="387E5C63" w14:textId="5DC3D746" w:rsidR="00881429" w:rsidRDefault="00881429" w:rsidP="008814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je oprávněn kontrolovat provádění díla. Zjistí-li zadavatel, že dodavatel provádí dílo v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rozporu s povinnostmi vyplývajícími ze smlouvy, je zadavatel oprávněn dožadovat se toho, aby dodavatel prováděl dílo v souladu se smlouvou a odstranil případné vady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nedokončeného díla.</w:t>
      </w:r>
    </w:p>
    <w:p w14:paraId="72AD32E1" w14:textId="77777777" w:rsidR="00881429" w:rsidRPr="00881429" w:rsidRDefault="00881429" w:rsidP="00881429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D84688" w14:textId="77777777" w:rsidR="00481278" w:rsidRPr="00481278" w:rsidRDefault="00AE0CB0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278">
        <w:rPr>
          <w:rFonts w:asciiTheme="minorHAnsi" w:hAnsiTheme="minorHAnsi" w:cstheme="minorHAnsi"/>
          <w:b/>
          <w:u w:val="single"/>
        </w:rPr>
        <w:t>C</w:t>
      </w:r>
      <w:r w:rsidR="005B3ABB" w:rsidRPr="00481278">
        <w:rPr>
          <w:rFonts w:asciiTheme="minorHAnsi" w:hAnsiTheme="minorHAnsi" w:cstheme="minorHAnsi"/>
          <w:b/>
          <w:u w:val="single"/>
        </w:rPr>
        <w:t>ena</w:t>
      </w:r>
      <w:r w:rsidRPr="00481278">
        <w:rPr>
          <w:rFonts w:asciiTheme="minorHAnsi" w:hAnsiTheme="minorHAnsi" w:cstheme="minorHAnsi"/>
          <w:b/>
          <w:u w:val="single"/>
        </w:rPr>
        <w:t xml:space="preserve"> díla</w:t>
      </w:r>
    </w:p>
    <w:p w14:paraId="5AB18619" w14:textId="210A868B" w:rsidR="00E20CEE" w:rsidRPr="00481278" w:rsidRDefault="00E20CEE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Za řádně provedené dílo se objednatel zavazuje za podmínek této smlouvy zhotoviteli zaplatit </w:t>
      </w:r>
      <w:r w:rsidR="00A81E90" w:rsidRPr="0048127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  <w:r w:rsidRPr="00481278">
        <w:rPr>
          <w:rFonts w:asciiTheme="minorHAnsi" w:hAnsiTheme="minorHAnsi" w:cstheme="minorHAnsi"/>
          <w:sz w:val="22"/>
          <w:szCs w:val="22"/>
        </w:rPr>
        <w:t xml:space="preserve"> Kč bez DPH (dále též „smluvní cena“).</w:t>
      </w:r>
    </w:p>
    <w:p w14:paraId="6772645E" w14:textId="20DE72E3" w:rsidR="00A87D42" w:rsidRPr="00F23A58" w:rsidRDefault="00481278" w:rsidP="00481278">
      <w:pPr>
        <w:spacing w:after="60"/>
        <w:ind w:left="425" w:firstLine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Výše DPH při uvedené smluvní ceně činí </w:t>
      </w:r>
      <w:r w:rsidR="00A81E90"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2A814A95" w14:textId="59494FDC" w:rsidR="00A87D42" w:rsidRPr="00F23A58" w:rsidRDefault="00481278" w:rsidP="00481278">
      <w:p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Celková cena, kterou objednatel za dílo uhradí, tak činí </w:t>
      </w:r>
      <w:r w:rsidR="00A81E90"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11F1B4A5" w14:textId="7339737A" w:rsidR="00CA239C" w:rsidRDefault="00A87D42" w:rsidP="00C916AE">
      <w:pPr>
        <w:pStyle w:val="Odstavecseseznamem"/>
        <w:keepNext/>
        <w:numPr>
          <w:ilvl w:val="1"/>
          <w:numId w:val="15"/>
        </w:numPr>
        <w:spacing w:after="6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81429">
        <w:rPr>
          <w:rFonts w:asciiTheme="minorHAnsi" w:hAnsiTheme="minorHAnsi" w:cstheme="minorHAnsi"/>
          <w:sz w:val="22"/>
          <w:szCs w:val="22"/>
        </w:rPr>
        <w:lastRenderedPageBreak/>
        <w:t>Objednatel prohlašuje, že v souvislosti s plněním nevystupuje</w:t>
      </w:r>
      <w:r w:rsidR="00512AA1" w:rsidRPr="00881429">
        <w:rPr>
          <w:rFonts w:asciiTheme="minorHAnsi" w:hAnsiTheme="minorHAnsi" w:cstheme="minorHAnsi"/>
          <w:sz w:val="22"/>
          <w:szCs w:val="22"/>
        </w:rPr>
        <w:t xml:space="preserve"> jako plátce DPH.</w:t>
      </w:r>
      <w:r w:rsidRPr="00881429">
        <w:rPr>
          <w:rFonts w:asciiTheme="minorHAnsi" w:hAnsiTheme="minorHAnsi" w:cstheme="minorHAnsi"/>
          <w:sz w:val="22"/>
          <w:szCs w:val="22"/>
        </w:rPr>
        <w:t xml:space="preserve"> </w:t>
      </w:r>
      <w:r w:rsidR="00512AA1" w:rsidRPr="00881429">
        <w:rPr>
          <w:rFonts w:asciiTheme="minorHAnsi" w:hAnsiTheme="minorHAnsi" w:cstheme="minorHAnsi"/>
          <w:sz w:val="22"/>
          <w:szCs w:val="22"/>
        </w:rPr>
        <w:t>N</w:t>
      </w:r>
      <w:r w:rsidRPr="00881429">
        <w:rPr>
          <w:rFonts w:asciiTheme="minorHAnsi" w:hAnsiTheme="minorHAnsi" w:cstheme="minorHAnsi"/>
          <w:sz w:val="22"/>
          <w:szCs w:val="22"/>
        </w:rPr>
        <w:t>a poskytnuté plnění se tak neuplatní režim přen</w:t>
      </w:r>
      <w:r w:rsidR="00AE0CB0" w:rsidRPr="00881429">
        <w:rPr>
          <w:rFonts w:asciiTheme="minorHAnsi" w:hAnsiTheme="minorHAnsi" w:cstheme="minorHAnsi"/>
          <w:sz w:val="22"/>
          <w:szCs w:val="22"/>
        </w:rPr>
        <w:t>esení daňové povinnosti podle § </w:t>
      </w:r>
      <w:r w:rsidRPr="00881429">
        <w:rPr>
          <w:rFonts w:asciiTheme="minorHAnsi" w:hAnsiTheme="minorHAnsi" w:cstheme="minorHAnsi"/>
          <w:sz w:val="22"/>
          <w:szCs w:val="22"/>
        </w:rPr>
        <w:t>92e zákona č. 235/2004 Sb., o dani z přidané hodnoty, ve znění pozdějších předpisů.</w:t>
      </w:r>
    </w:p>
    <w:p w14:paraId="66CE6A94" w14:textId="1B9DAA59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Smluvní strany se dohodly, že cena díla je stanovena jako cena nejvýše přípustná a konečná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a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Pr="00481278">
        <w:rPr>
          <w:rFonts w:asciiTheme="minorHAnsi" w:hAnsiTheme="minorHAnsi" w:cstheme="minorHAnsi"/>
          <w:sz w:val="22"/>
          <w:szCs w:val="22"/>
        </w:rPr>
        <w:t>platná v nezměněné výši po celou dobu trvání smlouvy.</w:t>
      </w:r>
    </w:p>
    <w:p w14:paraId="5CD32A20" w14:textId="145B50A4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Cena díla zahrnuje veškeré náklady dodavatele nebo jeho poddodavatelů související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Pr="00481278">
        <w:rPr>
          <w:rFonts w:asciiTheme="minorHAnsi" w:hAnsiTheme="minorHAnsi" w:cstheme="minorHAnsi"/>
          <w:sz w:val="22"/>
          <w:szCs w:val="22"/>
        </w:rPr>
        <w:t>komplexním provedením díla.</w:t>
      </w:r>
    </w:p>
    <w:p w14:paraId="5255AA30" w14:textId="0AE84B83" w:rsidR="00881429" w:rsidRDefault="00881429" w:rsidP="00DA1FB6">
      <w:pPr>
        <w:pStyle w:val="Odstavecseseznamem"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Všechny práce, dodávky nebo související služby musí být poskytnuty zadavateli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v požadovaném rozsahu, a to bez jakéhokoliv omezení. Dodavatel není oprávněn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„doúčtovat“ zadavateli jakékoliv dodatečné práce, dodávky nebo služby, které budou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nezbytné pro řádné splnění dílčího nebo celého předmětu smlouvy, a to např. i z důvodu, že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dodavatel chybně odhadl nabídkovou cenu anebo poskytnul nekvalitní práci, dodávku nebo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službu, v jejichž důsledku bylo nezbytné poskytnout další plnění pro komplexní a řádné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splnění dílčího nebo celého předmětu smlouvy apod.</w:t>
      </w:r>
    </w:p>
    <w:p w14:paraId="1CD407EA" w14:textId="16193ADC" w:rsidR="00AB43F5" w:rsidRPr="00AB43F5" w:rsidRDefault="00AB43F5" w:rsidP="00AB43F5">
      <w:pPr>
        <w:pStyle w:val="Odstavecseseznamem"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B43F5">
        <w:rPr>
          <w:rFonts w:asciiTheme="minorHAnsi" w:hAnsiTheme="minorHAnsi" w:cstheme="minorHAnsi"/>
          <w:sz w:val="22"/>
          <w:szCs w:val="22"/>
        </w:rPr>
        <w:t>Překročení nabídkové ceny je možné v případě, že objednatel při plnění díla rozhodne o provedení stavebních víceprací, které nebyly předmětem veřejné zakázky a které nebyly sjednány smlouvou. Objednatel musí být o navrhovaných vícepracích před jejich provedením informován.</w:t>
      </w:r>
    </w:p>
    <w:p w14:paraId="79A2FDC8" w14:textId="40A04C7C" w:rsidR="00AB43F5" w:rsidRPr="00AB43F5" w:rsidRDefault="00AB43F5" w:rsidP="007737BA">
      <w:pPr>
        <w:pStyle w:val="Odstavecseseznamem"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B43F5">
        <w:rPr>
          <w:rFonts w:asciiTheme="minorHAnsi" w:hAnsiTheme="minorHAnsi" w:cstheme="minorHAnsi"/>
          <w:sz w:val="22"/>
          <w:szCs w:val="22"/>
        </w:rPr>
        <w:t xml:space="preserve">V případě, že se vyskytnou změny díla, bude předložen k odsouhlasení jejich soupis. Jako podklad pro stanovení cen případných změn předmětu díla bude sloužit cenová úroveň odvozená z nabídkové ceny a velikosti příslušné části předmětu díla. Položkové ceny uvedené v nabídce zůstanou zachovány. Pro kalkulaci víceprací a </w:t>
      </w:r>
      <w:proofErr w:type="spellStart"/>
      <w:r w:rsidRPr="00AB43F5">
        <w:rPr>
          <w:rFonts w:asciiTheme="minorHAnsi" w:hAnsiTheme="minorHAnsi" w:cstheme="minorHAnsi"/>
          <w:sz w:val="22"/>
          <w:szCs w:val="22"/>
        </w:rPr>
        <w:t>méněprací</w:t>
      </w:r>
      <w:proofErr w:type="spellEnd"/>
      <w:r w:rsidRPr="00AB43F5">
        <w:rPr>
          <w:rFonts w:asciiTheme="minorHAnsi" w:hAnsiTheme="minorHAnsi" w:cstheme="minorHAnsi"/>
          <w:sz w:val="22"/>
          <w:szCs w:val="22"/>
        </w:rPr>
        <w:t xml:space="preserve"> se zhotovitel zavazuje použít jednotkové ceny ze své cenové nabídky na předmět plnění. Jestliže strany po podání cenové nabídky zhotovitele dohodly jednotkové ceny jiné, pak se použijí tyto jednotkové ceny. Pouze v případech, kdy jednotkové ceny nejsou pro dané práce v cenové nabídce uvedeny ani jinak dohodnuty, ocení požadované práce podle tohoto vzorce: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43F5">
        <w:rPr>
          <w:rFonts w:asciiTheme="minorHAnsi" w:hAnsiTheme="minorHAnsi" w:cstheme="minorHAnsi"/>
          <w:sz w:val="22"/>
          <w:szCs w:val="22"/>
        </w:rPr>
        <w:t>požadované práce = (položky víceprací dle platné Cenov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AB43F5">
        <w:rPr>
          <w:rFonts w:asciiTheme="minorHAnsi" w:hAnsiTheme="minorHAnsi" w:cstheme="minorHAnsi"/>
          <w:sz w:val="22"/>
          <w:szCs w:val="22"/>
        </w:rPr>
        <w:t xml:space="preserve"> soustava ÚRS) x ((celková cena dle nabídky zhotovitele bez DPH) / (celková cena podle rozpočtu v projektové dokumentaci díla bez DPH))). Neprovedené práce se odpočítávají, fakturace budou provedeny dle skutečného rozsahu prací. Drobné změny díla můžou rozhodnout zástupci ve věcech technických.</w:t>
      </w:r>
    </w:p>
    <w:p w14:paraId="27F649BD" w14:textId="1AAAEDEB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Cena díla je splatná na základě faktury vystavené dodavatelem, do 28 kalendářních dnů ode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dne doručení řádně vystavené faktury, popř. dodavatelem opravené (doplněné) faktury.</w:t>
      </w:r>
    </w:p>
    <w:p w14:paraId="3DE4AF93" w14:textId="2B58BDC4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Dodavatel je oprávněn vystavit fakturu až po předání a převzetí díla</w:t>
      </w:r>
      <w:r w:rsidR="00481278">
        <w:rPr>
          <w:rFonts w:asciiTheme="minorHAnsi" w:hAnsiTheme="minorHAnsi" w:cstheme="minorHAnsi"/>
          <w:sz w:val="22"/>
          <w:szCs w:val="22"/>
        </w:rPr>
        <w:t>.</w:t>
      </w:r>
    </w:p>
    <w:p w14:paraId="20645D2B" w14:textId="241ACDD5" w:rsidR="00881429" w:rsidRPr="00481278" w:rsidRDefault="00881429" w:rsidP="00AB43F5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Ve faktuře musí být uvedeno číslo smlouvy. Nedílnou součástí faktury musí být kopie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protokolu o předání a převzetí díla podepsaného oběma smluvními stranami.</w:t>
      </w:r>
    </w:p>
    <w:p w14:paraId="414ECC03" w14:textId="16B5EF67" w:rsidR="00481278" w:rsidRDefault="00881429" w:rsidP="00AB43F5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Faktura musí být doručena na adresu: </w:t>
      </w:r>
      <w:r w:rsidR="00481278" w:rsidRPr="00481278">
        <w:rPr>
          <w:rFonts w:asciiTheme="minorHAnsi" w:hAnsiTheme="minorHAnsi" w:cstheme="minorHAnsi"/>
          <w:sz w:val="22"/>
          <w:szCs w:val="22"/>
        </w:rPr>
        <w:t>Obchodní akademie a Střední odborná škola Choceň, T.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G. Masaryka 1000, 565 01 Choceň, </w:t>
      </w:r>
      <w:r w:rsidRPr="00481278">
        <w:rPr>
          <w:rFonts w:asciiTheme="minorHAnsi" w:hAnsiTheme="minorHAnsi" w:cstheme="minorHAnsi"/>
          <w:sz w:val="22"/>
          <w:szCs w:val="22"/>
        </w:rPr>
        <w:t>příp. po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 xml:space="preserve">předchozí dohodě elektronicky na e-mailovou adresu: </w:t>
      </w:r>
      <w:r w:rsidR="00481278" w:rsidRPr="00481278">
        <w:rPr>
          <w:rFonts w:asciiTheme="minorHAnsi" w:hAnsiTheme="minorHAnsi" w:cstheme="minorHAnsi"/>
          <w:sz w:val="22"/>
          <w:szCs w:val="22"/>
        </w:rPr>
        <w:t>oachocen@oa-chocen.cz,</w:t>
      </w:r>
      <w:r w:rsidRPr="00481278">
        <w:rPr>
          <w:rFonts w:asciiTheme="minorHAnsi" w:hAnsiTheme="minorHAnsi" w:cstheme="minorHAnsi"/>
          <w:sz w:val="22"/>
          <w:szCs w:val="22"/>
        </w:rPr>
        <w:t xml:space="preserve"> a to do 5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kalendářních dnů ode dne podpisu protokolu o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Pr="00481278">
        <w:rPr>
          <w:rFonts w:asciiTheme="minorHAnsi" w:hAnsiTheme="minorHAnsi" w:cstheme="minorHAnsi"/>
          <w:sz w:val="22"/>
          <w:szCs w:val="22"/>
        </w:rPr>
        <w:t>předání a převzetí díla poslední ze smluvních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stran.</w:t>
      </w:r>
    </w:p>
    <w:p w14:paraId="6E1189B7" w14:textId="294B1AC5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 Faktura bude uhrazena zadavatelem bankovním převodem.</w:t>
      </w:r>
    </w:p>
    <w:p w14:paraId="0DA80875" w14:textId="393F19CF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 Faktura musí mít náležitosti podle platné legislativy. V případě, že bude faktura vystavena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neoprávněně nebo nebude obsahovat zákonné náležitosti, je zadavatel oprávněn fakturu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 xml:space="preserve">vrátit </w:t>
      </w:r>
      <w:r w:rsidRPr="00481278">
        <w:rPr>
          <w:rFonts w:asciiTheme="minorHAnsi" w:hAnsiTheme="minorHAnsi" w:cstheme="minorHAnsi"/>
          <w:sz w:val="22"/>
          <w:szCs w:val="22"/>
        </w:rPr>
        <w:lastRenderedPageBreak/>
        <w:t>dodavateli k opravě (doplnění). V takovém případě bude přerušen běh doby splatnosti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a nová doba splatnosti začne běžet okamžikem doručení opravené (doplněné) faktury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zadavateli.</w:t>
      </w:r>
    </w:p>
    <w:p w14:paraId="02592196" w14:textId="6B724E78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Smluvní strany se dohodly, že na cenu díla nebudou poskytovány zálohy.</w:t>
      </w:r>
    </w:p>
    <w:p w14:paraId="78F9848E" w14:textId="77777777" w:rsidR="00881429" w:rsidRDefault="00881429" w:rsidP="00AE0CB0">
      <w:pPr>
        <w:pStyle w:val="Odstavecseseznamem"/>
        <w:keepNext/>
        <w:spacing w:after="120"/>
        <w:ind w:left="425" w:hanging="425"/>
        <w:rPr>
          <w:rFonts w:asciiTheme="minorHAnsi" w:hAnsiTheme="minorHAnsi" w:cstheme="minorHAnsi"/>
          <w:b/>
          <w:u w:val="single"/>
        </w:rPr>
      </w:pPr>
    </w:p>
    <w:p w14:paraId="53A1A3B8" w14:textId="02FA85A2" w:rsidR="006371D3" w:rsidRPr="00C916AE" w:rsidRDefault="00AE0CB0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C916AE">
        <w:rPr>
          <w:rFonts w:asciiTheme="minorHAnsi" w:hAnsiTheme="minorHAnsi" w:cstheme="minorHAnsi"/>
          <w:b/>
          <w:u w:val="single"/>
        </w:rPr>
        <w:t>T</w:t>
      </w:r>
      <w:r w:rsidR="006371D3" w:rsidRPr="00C916AE">
        <w:rPr>
          <w:rFonts w:asciiTheme="minorHAnsi" w:hAnsiTheme="minorHAnsi" w:cstheme="minorHAnsi"/>
          <w:b/>
          <w:u w:val="single"/>
        </w:rPr>
        <w:t>ermíny a místo plnění</w:t>
      </w:r>
    </w:p>
    <w:p w14:paraId="4B308CAC" w14:textId="278AB998" w:rsidR="0092665B" w:rsidRPr="002B1CE4" w:rsidRDefault="0092665B" w:rsidP="0092665B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B1CE4">
        <w:rPr>
          <w:rFonts w:asciiTheme="minorHAnsi" w:hAnsiTheme="minorHAnsi" w:cstheme="minorHAnsi"/>
          <w:sz w:val="22"/>
          <w:szCs w:val="22"/>
        </w:rPr>
        <w:t xml:space="preserve">Zhotovitel se zavazuje provést dílo řádně do </w:t>
      </w:r>
      <w:r w:rsidR="003647BF">
        <w:rPr>
          <w:rFonts w:asciiTheme="minorHAnsi" w:hAnsiTheme="minorHAnsi" w:cstheme="minorHAnsi"/>
          <w:sz w:val="22"/>
          <w:szCs w:val="22"/>
        </w:rPr>
        <w:t>31. října 2025.</w:t>
      </w:r>
    </w:p>
    <w:p w14:paraId="634AB812" w14:textId="4318F5C5" w:rsidR="0092665B" w:rsidRPr="00E67699" w:rsidRDefault="0092665B" w:rsidP="0092665B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67699">
        <w:rPr>
          <w:rFonts w:asciiTheme="minorHAnsi" w:hAnsiTheme="minorHAnsi"/>
          <w:sz w:val="22"/>
          <w:szCs w:val="22"/>
        </w:rPr>
        <w:t>Termín plnění díla lze prodloužit pouze na základě písemného dodatku k této smlouvě, a to pouze v případě, že nastanou skutečnosti, které nebylo objektivně možné v době uzavření této smlouvy předvídat a které po přechodnou dobu bránily v provádění díla a vznikly bez zavinění na straně zhotovitele. Objednatel si dále vyhrazuje právo posunutí termínu plnění díla s ohledem na klimatické podmínky, své provozní a organizační potřeby a zhotoviteli z takového posunu za žádných okolností nemůže vyplývat právo na účtování jakýchkoliv smluvních pokut, navýšení cen či náhrad škod. V případě posunutí termínu z důvodů na straně objednatele se o stejný časový úsek prodlužuje termín pro dokončení díla.</w:t>
      </w:r>
    </w:p>
    <w:p w14:paraId="300E72F0" w14:textId="520830D4" w:rsidR="00FC1CFD" w:rsidRPr="00481278" w:rsidRDefault="00F52DBC" w:rsidP="0092665B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Místo</w:t>
      </w:r>
      <w:r w:rsidR="00FC1CFD" w:rsidRPr="00F23A58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F23A58">
        <w:rPr>
          <w:rFonts w:asciiTheme="minorHAnsi" w:hAnsiTheme="minorHAnsi" w:cstheme="minorHAnsi"/>
          <w:sz w:val="22"/>
          <w:szCs w:val="22"/>
        </w:rPr>
        <w:t>:</w:t>
      </w:r>
      <w:r w:rsidR="00FC1CFD" w:rsidRPr="00F23A58">
        <w:rPr>
          <w:rFonts w:asciiTheme="minorHAnsi" w:hAnsiTheme="minorHAnsi" w:cstheme="minorHAnsi"/>
          <w:sz w:val="22"/>
          <w:szCs w:val="22"/>
        </w:rPr>
        <w:t xml:space="preserve"> </w:t>
      </w:r>
      <w:r w:rsidR="000279FD" w:rsidRPr="00481278">
        <w:rPr>
          <w:rFonts w:asciiTheme="minorHAnsi" w:hAnsiTheme="minorHAnsi" w:cstheme="minorHAnsi"/>
          <w:sz w:val="22"/>
          <w:szCs w:val="22"/>
        </w:rPr>
        <w:t>T. G. Masaryka 1000, 565 01 Choce</w:t>
      </w:r>
      <w:r w:rsidR="00481278" w:rsidRPr="00481278">
        <w:rPr>
          <w:rFonts w:asciiTheme="minorHAnsi" w:hAnsiTheme="minorHAnsi" w:cstheme="minorHAnsi"/>
          <w:sz w:val="22"/>
          <w:szCs w:val="22"/>
        </w:rPr>
        <w:t>ň</w:t>
      </w:r>
    </w:p>
    <w:p w14:paraId="1E5BC947" w14:textId="77777777" w:rsidR="00CA239C" w:rsidRPr="00F23A58" w:rsidRDefault="00CA239C" w:rsidP="00E20C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AAB49" w14:textId="46DD3B05" w:rsidR="006A4C95" w:rsidRPr="00F23A58" w:rsidRDefault="006A4C95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 xml:space="preserve">Další ujednání </w:t>
      </w:r>
    </w:p>
    <w:p w14:paraId="55F4BC77" w14:textId="7DA23075" w:rsidR="00B22CFA" w:rsidRPr="005E6D63" w:rsidRDefault="00B22CFA" w:rsidP="005E6D63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Dodavatel se zavazuje mít po celou dobu platnosti smlouvy sjednáno pojištění odpovědnosti za škodu způsobenou dodavatelem třetí osobě, a to s limitem pojis</w:t>
      </w:r>
      <w:r w:rsidR="006D59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tného plnění minimálně ve výši </w:t>
      </w:r>
      <w:r w:rsidR="00CA7BDD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C916AE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mil. Kč a zaplacené pojistné. (doklad o sjednaném pojištění předloží dodavatel před podpisem smlouvy)</w:t>
      </w:r>
    </w:p>
    <w:p w14:paraId="411D46BD" w14:textId="77777777" w:rsidR="00044F9E" w:rsidRPr="00044F9E" w:rsidRDefault="006D5957" w:rsidP="00044F9E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Pokud budou p</w:t>
      </w:r>
      <w:r w:rsidR="00516009">
        <w:rPr>
          <w:rFonts w:asciiTheme="minorHAnsi" w:hAnsiTheme="minorHAnsi" w:cstheme="minorHAnsi"/>
          <w:color w:val="000000" w:themeColor="text1"/>
          <w:sz w:val="22"/>
          <w:szCs w:val="22"/>
        </w:rPr>
        <w:t>ráce probíhat za plného provozu školy.</w:t>
      </w:r>
      <w:r w:rsidR="00516009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6D63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Dodavatel před zahájením prací projedná</w:t>
      </w:r>
      <w:r w:rsidR="005160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6D63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516009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5E6D63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vedením školy plán postupu prací v objektu, zejména</w:t>
      </w:r>
      <w:r w:rsidR="005160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ohledem na bezpečnost žáků a zaměstnanců školy. </w:t>
      </w:r>
      <w:r w:rsidR="00044F9E" w:rsidRPr="00044F9E">
        <w:rPr>
          <w:rFonts w:asciiTheme="minorHAnsi" w:hAnsiTheme="minorHAnsi" w:cstheme="minorHAnsi"/>
          <w:color w:val="000000" w:themeColor="text1"/>
          <w:sz w:val="22"/>
          <w:szCs w:val="22"/>
        </w:rPr>
        <w:t>Nebezpečí vzniku škody na věci předané k provedení díla přechází z objednatele na zhotovitele okamžikem předání věci a podpisem protokolu o předání věci smluvními stranami.</w:t>
      </w:r>
    </w:p>
    <w:p w14:paraId="1B2F9196" w14:textId="1188863C" w:rsidR="00044F9E" w:rsidRPr="00044F9E" w:rsidRDefault="00044F9E" w:rsidP="00044F9E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4F9E">
        <w:rPr>
          <w:rFonts w:asciiTheme="minorHAnsi" w:hAnsiTheme="minorHAnsi" w:cstheme="minorHAnsi"/>
          <w:color w:val="000000" w:themeColor="text1"/>
          <w:sz w:val="22"/>
          <w:szCs w:val="22"/>
        </w:rPr>
        <w:t>Nebezpečí škody na věcech předaných k provedení díla a prováděném díle až do předání objednateli nese zhotovitel.</w:t>
      </w:r>
    </w:p>
    <w:p w14:paraId="0AF0E191" w14:textId="1E6BE029" w:rsidR="00044F9E" w:rsidRPr="00044F9E" w:rsidRDefault="00044F9E" w:rsidP="00044F9E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4F9E">
        <w:rPr>
          <w:rFonts w:asciiTheme="minorHAnsi" w:hAnsiTheme="minorHAnsi" w:cstheme="minorHAnsi"/>
          <w:color w:val="000000" w:themeColor="text1"/>
          <w:sz w:val="22"/>
          <w:szCs w:val="22"/>
        </w:rPr>
        <w:t>Zhotovitel odpovídá za všechny škody, které vzniknou jeho činností v důsledku provádění díla objednateli, případně třetím osobám, a je povinen vzniklé škody nahradit nebo odstranit na své náklady.</w:t>
      </w:r>
    </w:p>
    <w:p w14:paraId="560A2262" w14:textId="7B0F02D3" w:rsidR="00044F9E" w:rsidRPr="00044F9E" w:rsidRDefault="00044F9E" w:rsidP="00044F9E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4F9E">
        <w:rPr>
          <w:rFonts w:asciiTheme="minorHAnsi" w:hAnsiTheme="minorHAnsi" w:cstheme="minorHAnsi"/>
          <w:color w:val="000000" w:themeColor="text1"/>
          <w:sz w:val="22"/>
          <w:szCs w:val="22"/>
        </w:rPr>
        <w:t>Smluvní strany se dohodly, že v případě náhrady škody se bude hradit pouze skutečná, prokazatelně vzniklá škoda.</w:t>
      </w:r>
    </w:p>
    <w:p w14:paraId="3DF05D17" w14:textId="2B69025D" w:rsidR="00B604F4" w:rsidRPr="00F23A58" w:rsidRDefault="001D1106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Pověřené osoby</w:t>
      </w:r>
    </w:p>
    <w:p w14:paraId="02B3F262" w14:textId="77777777" w:rsidR="006C16BF" w:rsidRPr="00F23A58" w:rsidRDefault="006C16BF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Ve věcech technických je oprávněn jednat:</w:t>
      </w:r>
    </w:p>
    <w:p w14:paraId="09B96030" w14:textId="7C380C59" w:rsidR="006C16BF" w:rsidRPr="00F23A58" w:rsidRDefault="006C16BF" w:rsidP="00232C36">
      <w:pPr>
        <w:pStyle w:val="Odstavecseseznamem"/>
        <w:numPr>
          <w:ilvl w:val="0"/>
          <w:numId w:val="5"/>
        </w:numPr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F23A58">
        <w:rPr>
          <w:rFonts w:asciiTheme="minorHAnsi" w:hAnsiTheme="minorHAnsi" w:cstheme="minorHAnsi"/>
          <w:sz w:val="22"/>
          <w:szCs w:val="22"/>
        </w:rPr>
        <w:t>technický dozor za objednatele</w:t>
      </w:r>
    </w:p>
    <w:p w14:paraId="27ABC763" w14:textId="77777777" w:rsidR="006C16BF" w:rsidRPr="00F23A58" w:rsidRDefault="006C16BF" w:rsidP="006C16BF">
      <w:pPr>
        <w:pStyle w:val="Odstavecseseznamem"/>
        <w:numPr>
          <w:ilvl w:val="0"/>
          <w:numId w:val="5"/>
        </w:numPr>
        <w:spacing w:after="12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</w:p>
    <w:p w14:paraId="523A996C" w14:textId="182213AE" w:rsidR="006C16BF" w:rsidRPr="00F23A58" w:rsidRDefault="00881429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předání a převzetí místa plnění</w:t>
      </w:r>
      <w:r w:rsidR="006C16BF" w:rsidRPr="00F23A58">
        <w:rPr>
          <w:rFonts w:asciiTheme="minorHAnsi" w:hAnsiTheme="minorHAnsi" w:cstheme="minorHAnsi"/>
          <w:sz w:val="22"/>
          <w:szCs w:val="22"/>
        </w:rPr>
        <w:t xml:space="preserve"> je oprávněn:</w:t>
      </w:r>
    </w:p>
    <w:p w14:paraId="3E2E0D79" w14:textId="30B26EC1" w:rsidR="006C16BF" w:rsidRPr="00F23A58" w:rsidRDefault="006C16BF" w:rsidP="00232C36">
      <w:pPr>
        <w:pStyle w:val="Odstavecseseznamem"/>
        <w:numPr>
          <w:ilvl w:val="0"/>
          <w:numId w:val="6"/>
        </w:numPr>
        <w:spacing w:after="6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881429">
        <w:rPr>
          <w:rFonts w:asciiTheme="minorHAnsi" w:hAnsiTheme="minorHAnsi" w:cstheme="minorHAnsi"/>
          <w:sz w:val="22"/>
          <w:szCs w:val="22"/>
        </w:rPr>
        <w:t xml:space="preserve">Jiří </w:t>
      </w:r>
      <w:proofErr w:type="spellStart"/>
      <w:r w:rsidR="00881429">
        <w:rPr>
          <w:rFonts w:asciiTheme="minorHAnsi" w:hAnsiTheme="minorHAnsi" w:cstheme="minorHAnsi"/>
          <w:sz w:val="22"/>
          <w:szCs w:val="22"/>
        </w:rPr>
        <w:t>Vostal</w:t>
      </w:r>
      <w:proofErr w:type="spellEnd"/>
    </w:p>
    <w:p w14:paraId="07C79E2C" w14:textId="77777777" w:rsidR="006C16BF" w:rsidRPr="00F23A58" w:rsidRDefault="006C16BF" w:rsidP="006C16BF">
      <w:pPr>
        <w:pStyle w:val="Odstavecseseznamem"/>
        <w:numPr>
          <w:ilvl w:val="0"/>
          <w:numId w:val="6"/>
        </w:numPr>
        <w:spacing w:after="120"/>
        <w:ind w:hanging="29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</w:p>
    <w:p w14:paraId="100BAED7" w14:textId="77777777" w:rsidR="006C16BF" w:rsidRPr="00F23A58" w:rsidRDefault="006C16BF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K předání a převzetí dokončeného díla je oprávněn:</w:t>
      </w:r>
    </w:p>
    <w:p w14:paraId="3270865A" w14:textId="7B50C1A6" w:rsidR="006C16BF" w:rsidRPr="00F23A58" w:rsidRDefault="006C16BF" w:rsidP="00232C36">
      <w:pPr>
        <w:pStyle w:val="Odstavecseseznamem"/>
        <w:numPr>
          <w:ilvl w:val="0"/>
          <w:numId w:val="7"/>
        </w:numPr>
        <w:spacing w:after="6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FB6852" w:rsidRPr="00F23A58">
        <w:rPr>
          <w:rFonts w:asciiTheme="minorHAnsi" w:hAnsiTheme="minorHAnsi" w:cstheme="minorHAnsi"/>
          <w:sz w:val="22"/>
          <w:szCs w:val="22"/>
        </w:rPr>
        <w:t xml:space="preserve">Ing. </w:t>
      </w:r>
      <w:r w:rsidR="00F23A58">
        <w:rPr>
          <w:rFonts w:asciiTheme="minorHAnsi" w:hAnsiTheme="minorHAnsi" w:cstheme="minorHAnsi"/>
          <w:sz w:val="22"/>
          <w:szCs w:val="22"/>
        </w:rPr>
        <w:t>Markéta Drahošová</w:t>
      </w:r>
    </w:p>
    <w:p w14:paraId="201FD713" w14:textId="259D8DB9" w:rsidR="001D1106" w:rsidRPr="00F23A58" w:rsidRDefault="006C16BF" w:rsidP="001D1106">
      <w:pPr>
        <w:pStyle w:val="Odstavecseseznamem"/>
        <w:numPr>
          <w:ilvl w:val="0"/>
          <w:numId w:val="7"/>
        </w:numPr>
        <w:spacing w:after="12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</w:p>
    <w:p w14:paraId="5F93BC49" w14:textId="77777777" w:rsidR="00CA239C" w:rsidRPr="00F23A58" w:rsidRDefault="00CA239C" w:rsidP="00CA239C">
      <w:pPr>
        <w:pStyle w:val="Odstavecseseznamem"/>
        <w:keepNext/>
        <w:ind w:left="425" w:hanging="425"/>
        <w:contextualSpacing w:val="0"/>
        <w:rPr>
          <w:rFonts w:asciiTheme="minorHAnsi" w:hAnsiTheme="minorHAnsi" w:cstheme="minorHAnsi"/>
          <w:b/>
          <w:u w:val="single"/>
        </w:rPr>
      </w:pPr>
    </w:p>
    <w:p w14:paraId="3264A2FF" w14:textId="77777777" w:rsidR="00791670" w:rsidRDefault="00791670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1543534F" w14:textId="28FAA3A4" w:rsidR="00B604F4" w:rsidRPr="00F23A58" w:rsidRDefault="001D1106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lastRenderedPageBreak/>
        <w:t>Součásti smlouvy</w:t>
      </w:r>
    </w:p>
    <w:p w14:paraId="77F0C0B7" w14:textId="77777777" w:rsidR="004877BF" w:rsidRPr="00F23A58" w:rsidRDefault="004877BF" w:rsidP="001D1106">
      <w:pPr>
        <w:spacing w:after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3E494CA9" w14:textId="5E6D87B5" w:rsidR="006D5957" w:rsidRPr="006D5957" w:rsidRDefault="006D5957" w:rsidP="006D5957">
      <w:pPr>
        <w:ind w:left="709" w:right="-24"/>
        <w:jc w:val="both"/>
        <w:rPr>
          <w:rFonts w:asciiTheme="minorHAnsi" w:hAnsiTheme="minorHAnsi" w:cs="Arial"/>
          <w:sz w:val="22"/>
        </w:rPr>
      </w:pPr>
      <w:r w:rsidRPr="006D5957">
        <w:rPr>
          <w:rFonts w:asciiTheme="minorHAnsi" w:hAnsiTheme="minorHAnsi" w:cs="Arial"/>
          <w:sz w:val="22"/>
        </w:rPr>
        <w:t xml:space="preserve">Příloha č. 1 - Oceněné soupisy stavebních prací s výkazem výměr </w:t>
      </w:r>
    </w:p>
    <w:p w14:paraId="5C814680" w14:textId="5716340E" w:rsidR="006D5957" w:rsidRPr="006D5957" w:rsidRDefault="00A5362A" w:rsidP="006D5957">
      <w:pPr>
        <w:ind w:left="709" w:right="-24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Příloha č. 2</w:t>
      </w:r>
      <w:r w:rsidR="006D5957" w:rsidRPr="006D5957">
        <w:rPr>
          <w:rFonts w:asciiTheme="minorHAnsi" w:hAnsiTheme="minorHAnsi" w:cs="Arial"/>
          <w:sz w:val="22"/>
        </w:rPr>
        <w:t xml:space="preserve"> - Provozní a technické podmínky realizace stavby </w:t>
      </w:r>
    </w:p>
    <w:p w14:paraId="7E8C4B91" w14:textId="77777777" w:rsidR="006D5957" w:rsidRDefault="006D5957" w:rsidP="006D5957">
      <w:pPr>
        <w:pStyle w:val="Odstavecseseznamem"/>
        <w:keepNext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42155D07" w14:textId="516DDB8B" w:rsidR="00251CBF" w:rsidRDefault="00251CBF" w:rsidP="00B22CFA">
      <w:pPr>
        <w:pStyle w:val="Odstavecseseznamem"/>
        <w:keepNext/>
        <w:numPr>
          <w:ilvl w:val="0"/>
          <w:numId w:val="15"/>
        </w:num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Záruka</w:t>
      </w:r>
      <w:r w:rsidR="00232C36">
        <w:rPr>
          <w:rFonts w:asciiTheme="minorHAnsi" w:hAnsiTheme="minorHAnsi" w:cstheme="minorHAnsi"/>
          <w:b/>
          <w:u w:val="single"/>
        </w:rPr>
        <w:t xml:space="preserve"> za jakost a odpovědnost za vady díla</w:t>
      </w:r>
    </w:p>
    <w:p w14:paraId="721076F5" w14:textId="5795B8B4" w:rsidR="00232C36" w:rsidRPr="00232C36" w:rsidRDefault="00A80221" w:rsidP="00B22CFA">
      <w:pPr>
        <w:pStyle w:val="Odstavecseseznamem"/>
        <w:keepNext/>
        <w:numPr>
          <w:ilvl w:val="1"/>
          <w:numId w:val="15"/>
        </w:numPr>
        <w:spacing w:before="120"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232C36" w:rsidRPr="00232C36">
        <w:rPr>
          <w:rFonts w:asciiTheme="minorHAnsi" w:hAnsiTheme="minorHAnsi" w:cstheme="minorHAnsi"/>
          <w:sz w:val="22"/>
          <w:szCs w:val="22"/>
        </w:rPr>
        <w:t xml:space="preserve"> poskytuje na veškeré práce a dodávky </w:t>
      </w:r>
      <w:r>
        <w:rPr>
          <w:rFonts w:asciiTheme="minorHAnsi" w:hAnsiTheme="minorHAnsi" w:cstheme="minorHAnsi"/>
          <w:sz w:val="22"/>
          <w:szCs w:val="22"/>
        </w:rPr>
        <w:t>záruku v délce 60 měsíců.</w:t>
      </w:r>
    </w:p>
    <w:p w14:paraId="6C3BAF63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hAnsiTheme="minorHAnsi" w:cstheme="minorHAnsi"/>
          <w:sz w:val="22"/>
          <w:szCs w:val="22"/>
        </w:rPr>
        <w:t xml:space="preserve">Záruční doba běží ode dne podpisu protokolu o předání a převzetí díla poslední ze smluvních stran. Záruční doba neběží po dobu, po kterou zadavatel nemohl předmět díla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užívat pro vady díla, za které dodavatel odpovídá.</w:t>
      </w:r>
    </w:p>
    <w:p w14:paraId="46A00FCA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odpovídá za vady, jež má jím zhotovené dílo v době jeho předání a převzetí, a dále odpovídá za vady jím zhotoveného díla zjištěné v záruční době.</w:t>
      </w:r>
    </w:p>
    <w:p w14:paraId="1F45FFE9" w14:textId="1F5F2A19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Zjistí-li zadavatel v záruční době vadu díla, je povinen ji bez zbytečného odkladu písemně u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dodavatele reklamovat. V reklamaci musí být vada díla řádně popsána.</w:t>
      </w:r>
    </w:p>
    <w:p w14:paraId="3A6A8469" w14:textId="2CD5D402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Za včas uplatněnou reklamaci díla se považuje reklamace odeslaná zadavatelem nejpozději v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poslední den sjednané záruční doby (prostřednictvím pošty, datové schránky nebo emailu).</w:t>
      </w:r>
    </w:p>
    <w:p w14:paraId="049847BA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Nejpozději 7. kalendářní den po doručení písemné reklamace je dodavatel povinen dostavit se k protokolárnímu ohledání a posouzení reklamované vady díla. Protokol o ohledání a posouzení reklamované vady díla musí obsahovat termín bezplatného odstranění reklamované vady díla dohodnutý se zadavatelem.</w:t>
      </w:r>
    </w:p>
    <w:p w14:paraId="77E713CB" w14:textId="05A41757" w:rsidR="00232C36" w:rsidRPr="00232C36" w:rsidRDefault="00232C36" w:rsidP="00B22CFA">
      <w:pPr>
        <w:pStyle w:val="Odstavecseseznamem"/>
        <w:keepNext/>
        <w:autoSpaceDE w:val="0"/>
        <w:autoSpaceDN w:val="0"/>
        <w:adjustRightInd w:val="0"/>
        <w:spacing w:after="120"/>
        <w:ind w:left="792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Nedostaví-li se dodavatel k protokolárnímu ohledání a posouzení zadavatelem řádně reklamované vady díla nejpozději 7. kalendářní den po doručení písemné reklamace, má se za to, že za reklamovanou vadu dodavatel odpovídá a zadavatel je oprávněn zajistit odstranění vady díla jiným subjektem a vyúčtovat vzniklé náklady dodavateli. Smluvní pokutu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dle čl.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odst.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.4 smlouvy je dodavatel povinen hradit do dne zahájení prací jiným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subjektem.</w:t>
      </w:r>
    </w:p>
    <w:p w14:paraId="4BC07D4F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Práce na odstranění zadavatelem řádně reklamované vady díla, za kterou odpovídá dodavatel, je dodavatel povinen zahájit nejpozději 7. kalendářní den po ohledání a posouzení reklamované vady díla, pokud se smluvní strany nedohodnou jinak.</w:t>
      </w:r>
    </w:p>
    <w:p w14:paraId="670629DD" w14:textId="49F9EC56" w:rsidR="00232C36" w:rsidRDefault="00232C36" w:rsidP="00DA1FB6">
      <w:pPr>
        <w:pStyle w:val="Odstavecseseznamem"/>
        <w:autoSpaceDE w:val="0"/>
        <w:autoSpaceDN w:val="0"/>
        <w:adjustRightInd w:val="0"/>
        <w:spacing w:after="120"/>
        <w:ind w:left="794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Nezahájí-li dodavatel práce na odstranění zadavatelem řádně reklamované vady díla, za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kterou dodavatel odpovídá, nejpozději 7. kalendářní den po ohledání a posouzení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reklamované vady díla, je zadavatel oprávněn zajistit odstranění vady díla jiným subjektem a</w:t>
      </w:r>
      <w:r w:rsidR="00DA1F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yúčtovat vzniklé náklady dodavateli. Smluvní pokutu dle čl. 6 odst. 6.4 smlouvy je dodavatel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povinen hradit do dne zahájení prací jiným subjektem.</w:t>
      </w:r>
    </w:p>
    <w:p w14:paraId="13EC7FFA" w14:textId="77777777" w:rsidR="001F0C4D" w:rsidRPr="00232C36" w:rsidRDefault="001F0C4D" w:rsidP="00DA1FB6">
      <w:pPr>
        <w:pStyle w:val="Odstavecseseznamem"/>
        <w:autoSpaceDE w:val="0"/>
        <w:autoSpaceDN w:val="0"/>
        <w:adjustRightInd w:val="0"/>
        <w:spacing w:after="120"/>
        <w:ind w:left="794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95CAC2" w14:textId="77777777" w:rsidR="00232C36" w:rsidRPr="00232C36" w:rsidRDefault="00232C36" w:rsidP="00DA1FB6">
      <w:pPr>
        <w:pStyle w:val="Odstavecseseznamem"/>
        <w:numPr>
          <w:ilvl w:val="0"/>
          <w:numId w:val="15"/>
        </w:numPr>
        <w:spacing w:after="60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232C36">
        <w:rPr>
          <w:rFonts w:asciiTheme="minorHAnsi" w:hAnsiTheme="minorHAnsi" w:cstheme="minorHAnsi"/>
          <w:b/>
          <w:u w:val="single"/>
        </w:rPr>
        <w:t>Sankce</w:t>
      </w:r>
    </w:p>
    <w:p w14:paraId="31E60DD2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hAnsiTheme="minorHAnsi" w:cstheme="minorHAnsi"/>
          <w:sz w:val="22"/>
          <w:szCs w:val="22"/>
        </w:rPr>
        <w:t xml:space="preserve">Dodavatel nese plnou odpovědnost za škodu způsobenou zadavateli v souvislosti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s plněním předmětu smlouvy a zavazuje se takovou škodu zadavateli uhradit. Výše náhrady škody není omezena.</w:t>
      </w:r>
    </w:p>
    <w:p w14:paraId="29C1FEF0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V případě prodlení dodavatele s převzetím místa provádění díla (tj. zahájením provádění díla) ve lhůtě sjednané smluvními stranami v čl. 3 odst. 3.2, zavazuje se dodavatel uhradit zadavateli smluvní pokutu ve výši 0,2 % z ceny díla, a to za každý kalendářní den prodlení.</w:t>
      </w:r>
    </w:p>
    <w:p w14:paraId="05EDEA34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V případě prodlení dodavatele s provedením díla a jeho předáním ve lhůtě sjednané smluvními stranami v čl. 3 odst. 3.3, zavazuje se dodavatel uhradit zadavateli smluvní pokutu ve výši 0,2 % z ceny díla, a to za každý kalendářní den prodlení.</w:t>
      </w:r>
    </w:p>
    <w:p w14:paraId="124286B4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Nedostaví-li se dodavatel k protokolárnímu ohledání a posouzení zadavatelem řádně reklamované vady díla nejpozději 7. kalendářní den po doručení písemné reklamace nebo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nezahájí-li dodavatel práce na odstranění zadavatelem řádně reklamované vady díla, za kterou dodavatel odpovídá, nejpozději 7. kalendářní den po ohledání a posouzení reklamované vady díla, zavazuje se uhradit zadavateli smluvní pokutu ve výši 1 000 Kč, a to za každý kalendářní den prodlení.</w:t>
      </w:r>
    </w:p>
    <w:p w14:paraId="29EBDAF5" w14:textId="0F96C9EC" w:rsid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 případě, že dodavatel nebude mít sjednáno pojištění a zaplacené pojistné v souladu s čl. 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4 odst. 4.1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odst. smlouvy, zavazuje se dodavatel uhradit zadavateli smluvní pokutu ve výši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50 0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00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Kč.</w:t>
      </w:r>
    </w:p>
    <w:p w14:paraId="235AEDFE" w14:textId="77777777" w:rsid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se zavazuje uhradit dodavateli z jakékoli neoprávněně neuhrazené části faktury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dodavatele (včetně DPH) úrok z prodlení ve výši stanovené nařízením vlády č. 351/2013 Sb.,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terým se určuje výše úroků z prodlení a nákladů spojených s uplatněním pohledávky, určuje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odměna likvidátora, likvidačního správce a člena orgánu právnické osoby jmenovaného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soudem a upravují některé otázky Obchodního věstníku a veřejných rejstříků právnických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 fyzických osob, ve znění pozdějších předpisů, a to za každý kalendářní den prodlení vůči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dnu splatnosti faktury.</w:t>
      </w:r>
    </w:p>
    <w:p w14:paraId="1BDC29BE" w14:textId="77777777" w:rsid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 pokuty, jakož i případné úroky z prodlení, jsou splatné 14. kalendářní den ode dne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odeslání příslušné výzvy povinné smluvní straně na její adresu uvedenou v záhlaví této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smlouvy anebo do datové schránky.</w:t>
      </w:r>
    </w:p>
    <w:p w14:paraId="089D9C69" w14:textId="1D88D0D6" w:rsidR="00232C36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Právo na náhradu škody v plné výši, tedy i ve výši přesahující smluvní pokutu, není výše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uvedenými ustanoveními dotčeno.</w:t>
      </w:r>
    </w:p>
    <w:p w14:paraId="24C05239" w14:textId="77777777" w:rsidR="001F0C4D" w:rsidRDefault="001F0C4D" w:rsidP="001F0C4D">
      <w:pPr>
        <w:pStyle w:val="Odstavecseseznamem"/>
        <w:keepNext/>
        <w:autoSpaceDE w:val="0"/>
        <w:autoSpaceDN w:val="0"/>
        <w:adjustRightInd w:val="0"/>
        <w:spacing w:after="120"/>
        <w:ind w:left="792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273C233" w14:textId="77777777" w:rsidR="00232C36" w:rsidRPr="00B22CFA" w:rsidRDefault="00232C36" w:rsidP="00B22CFA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B22CFA">
        <w:rPr>
          <w:rFonts w:asciiTheme="minorHAnsi" w:hAnsiTheme="minorHAnsi" w:cstheme="minorHAnsi"/>
          <w:b/>
          <w:u w:val="single"/>
        </w:rPr>
        <w:t>Odstoupení od smlouvy</w:t>
      </w:r>
    </w:p>
    <w:p w14:paraId="4C752A4C" w14:textId="137E0DA9" w:rsidR="00232C36" w:rsidRP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Zadavatel je oprávněn odstoupit od smlouvy (§ 2001 občanského zákoníku) v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těchto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případech:</w:t>
      </w:r>
    </w:p>
    <w:p w14:paraId="4DDF977D" w14:textId="77777777" w:rsidR="00B22CFA" w:rsidRDefault="00232C36" w:rsidP="00067C9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v prodlení s převzetím místa provádění díla (tj. zahájením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provádění díla) více než 14 kalendářních dnů,</w:t>
      </w:r>
    </w:p>
    <w:p w14:paraId="46559D49" w14:textId="77777777" w:rsidR="00B22CFA" w:rsidRDefault="00232C36" w:rsidP="00185B0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v prodlení s provedením díla a jeho předáním více než 14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kalendářních dnů,</w:t>
      </w:r>
    </w:p>
    <w:p w14:paraId="4DEE174D" w14:textId="1ED9B31F" w:rsidR="00B22CFA" w:rsidRDefault="00232C36" w:rsidP="001775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provádět dílo v rozporu s podmínkami sjednanými ve smlouvě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zejména v čl. 2 odst. 2.3 smlouvy,</w:t>
      </w:r>
    </w:p>
    <w:p w14:paraId="1EC997F0" w14:textId="4A977E9B" w:rsidR="00232C36" w:rsidRPr="00B22CFA" w:rsidRDefault="00232C36" w:rsidP="00CD4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nabude právní moci rozhodnutí insolvenčního soudu o úpadku dodavatele,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v němž tento soud konstatuje, že je dodavatel v úpadku.</w:t>
      </w:r>
    </w:p>
    <w:p w14:paraId="63562870" w14:textId="4EFEB3A4" w:rsidR="00232C36" w:rsidRP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je oprávněn odstoupit od smlouvy (§ 2001 občanského zákoníku) v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těchto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případech:</w:t>
      </w:r>
    </w:p>
    <w:p w14:paraId="51BE996F" w14:textId="722423FE" w:rsidR="00232C36" w:rsidRPr="00B22CFA" w:rsidRDefault="00232C36" w:rsidP="003678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zadavatel bude neoprávněně v prodlení s úhradou faktury za řádně dokončené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předané dílo dle této smlouvy více než 60 kalendářních dnů.</w:t>
      </w:r>
    </w:p>
    <w:p w14:paraId="60455B84" w14:textId="644BD5D3" w:rsidR="00232C36" w:rsidRPr="00B22CFA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Odstoupení od smlouvy je účinné okamžikem doručení písemného odstoupení od smlouvy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druhé smluvní straně. </w:t>
      </w:r>
    </w:p>
    <w:p w14:paraId="3359B5DE" w14:textId="76255AD1" w:rsidR="00251CBF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Odstoupení od smlouvy se netýká nároku na úhradu všech peněžitých plnění (zejména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smluvních pokut a náhrad škod), na které vznikl smluvní straně nárok na základě smlouvy.</w:t>
      </w:r>
    </w:p>
    <w:p w14:paraId="121A070E" w14:textId="77777777" w:rsidR="001F0C4D" w:rsidRDefault="001F0C4D" w:rsidP="001F0C4D">
      <w:pPr>
        <w:pStyle w:val="Odstavecseseznamem"/>
        <w:autoSpaceDE w:val="0"/>
        <w:autoSpaceDN w:val="0"/>
        <w:adjustRightInd w:val="0"/>
        <w:spacing w:before="120" w:after="60"/>
        <w:ind w:left="788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6BBA27E" w14:textId="77777777" w:rsidR="00044F9E" w:rsidRPr="00044F9E" w:rsidRDefault="00044F9E" w:rsidP="00044F9E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044F9E">
        <w:rPr>
          <w:rFonts w:asciiTheme="minorHAnsi" w:hAnsiTheme="minorHAnsi" w:cstheme="minorHAnsi"/>
          <w:b/>
          <w:u w:val="single"/>
        </w:rPr>
        <w:t>Ochrana důvěrných informaci</w:t>
      </w:r>
    </w:p>
    <w:p w14:paraId="3A287AE3" w14:textId="1A418ABB" w:rsidR="00044F9E" w:rsidRPr="00044F9E" w:rsidRDefault="00044F9E" w:rsidP="00A80221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Zhotovitel se zavazuje, že jeho zaměstnanci, poddodavatelé a zaměstnanci poddodavatelů nebudou neoprávněně a mimo smluvní ujednání nakládat s osobními a citlivými osobními údaji, se kterými přijdou v rámci plnění předmětu smlouvy do styku, nebudou zcizovat a zpřístupňovat informace o činnosti, systému řízení a kontroly, které se vztahují k objednateli. Stejně tak zachovají mlčenlivost o všech skutečnostech a informacích, se kterými se seznámí při </w:t>
      </w: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své činnosti v rámci plnění předmětu této smlouvy a nebudou vyvíjet žádnou činnost, která nesouvisí s předmětem této smlouvy.</w:t>
      </w:r>
    </w:p>
    <w:p w14:paraId="3DFF2E82" w14:textId="1107A648" w:rsidR="00044F9E" w:rsidRPr="00044F9E" w:rsidRDefault="00044F9E" w:rsidP="00A80221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 je odpovědný i za zcizení nebo zpřístupnění informací třetí straně nebo osobám, které nejsou zainteresovány na výkonu předmětu činnosti této smlouvy z nedbalosti.</w:t>
      </w:r>
    </w:p>
    <w:p w14:paraId="01A7F51E" w14:textId="6CA671D8" w:rsidR="00044F9E" w:rsidRPr="00044F9E" w:rsidRDefault="00044F9E" w:rsidP="00A80221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 ani jeho zaměstnanci nesmí bez vědomí a prokazatelného souhlasu objednatele pořizovat žádné kopie dat včetně testovacích dat a informací, k nimž získají přístup na základě plnění předmětu smlouvy. Povinnost poskytovat informace podle zákona č. 106/1999 Sb., o svobodném přístupu k informacím, v platném znění, není tímto ustanovením dotčena.</w:t>
      </w:r>
    </w:p>
    <w:p w14:paraId="237322BE" w14:textId="7D5DCA33" w:rsidR="00044F9E" w:rsidRPr="00DF6F74" w:rsidRDefault="00044F9E" w:rsidP="00A80221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F6F74">
        <w:rPr>
          <w:rFonts w:asciiTheme="minorHAnsi" w:eastAsiaTheme="minorHAnsi" w:hAnsiTheme="minorHAnsi" w:cstheme="minorHAnsi"/>
          <w:sz w:val="22"/>
          <w:szCs w:val="22"/>
          <w:lang w:eastAsia="en-US"/>
        </w:rPr>
        <w:t>Za neveřejné informace se považují veškeré následující informace:</w:t>
      </w:r>
    </w:p>
    <w:p w14:paraId="13089843" w14:textId="77777777" w:rsidR="00044F9E" w:rsidRPr="00DF6F74" w:rsidRDefault="00044F9E" w:rsidP="00044F9E">
      <w:pPr>
        <w:pStyle w:val="Odstavecseseznamem"/>
        <w:numPr>
          <w:ilvl w:val="0"/>
          <w:numId w:val="20"/>
        </w:num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veškeré informace poskytnuté objednatelem zhotoviteli v souvislosti s touto smlouvou;</w:t>
      </w:r>
    </w:p>
    <w:p w14:paraId="4BC5FB06" w14:textId="77777777" w:rsidR="00044F9E" w:rsidRPr="00DF6F74" w:rsidRDefault="00044F9E" w:rsidP="00044F9E">
      <w:pPr>
        <w:pStyle w:val="Odstavecseseznamem"/>
        <w:numPr>
          <w:ilvl w:val="0"/>
          <w:numId w:val="20"/>
        </w:num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informace, na které se vztahuje zákonem uložená povinnost mlčenlivosti objednatele;</w:t>
      </w:r>
    </w:p>
    <w:p w14:paraId="053BEB9D" w14:textId="77777777" w:rsidR="00044F9E" w:rsidRPr="00DF6F74" w:rsidRDefault="00044F9E" w:rsidP="00044F9E">
      <w:pPr>
        <w:pStyle w:val="Odstavecseseznamem"/>
        <w:numPr>
          <w:ilvl w:val="0"/>
          <w:numId w:val="20"/>
        </w:num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veškeré další informace, které budou objednatelem či zhotovitelem označeny jako neveřejné ve smyslu ustanovení § 218 zákona č. 134/2016 Sb., ZZVZ.</w:t>
      </w:r>
    </w:p>
    <w:p w14:paraId="66CA9A55" w14:textId="67AFC759" w:rsidR="00044F9E" w:rsidRPr="00DF6F74" w:rsidRDefault="00044F9E" w:rsidP="00044F9E">
      <w:pPr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 xml:space="preserve">              Povinnost zachovávat mlčenlivost uvedenou v tomto čl. 10 se nevztahuje na informace:</w:t>
      </w:r>
    </w:p>
    <w:p w14:paraId="058FA6D8" w14:textId="77777777" w:rsidR="00044F9E" w:rsidRPr="00DF6F74" w:rsidRDefault="00044F9E" w:rsidP="00044F9E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které jsou nebo se stanou všeobecně a veřejně přístupnými jinak, než porušením právních povinností ze strany zhotovitele</w:t>
      </w:r>
      <w:r w:rsidRPr="00DF6F74">
        <w:rPr>
          <w:rFonts w:asciiTheme="minorHAnsi" w:hAnsiTheme="minorHAnsi"/>
          <w:sz w:val="22"/>
          <w:szCs w:val="22"/>
        </w:rPr>
        <w:t>;</w:t>
      </w:r>
    </w:p>
    <w:p w14:paraId="73005886" w14:textId="77777777" w:rsidR="00044F9E" w:rsidRPr="00DF6F74" w:rsidRDefault="00044F9E" w:rsidP="00044F9E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u nichž je zhotovitel schopen prokázat, že mu byly známy a byly mu volně k dispozici ještě před přijetím těchto informací od objednatele</w:t>
      </w:r>
      <w:r w:rsidRPr="00DF6F74">
        <w:rPr>
          <w:rFonts w:asciiTheme="minorHAnsi" w:hAnsiTheme="minorHAnsi"/>
          <w:sz w:val="22"/>
          <w:szCs w:val="22"/>
        </w:rPr>
        <w:t>;</w:t>
      </w:r>
    </w:p>
    <w:p w14:paraId="6F510563" w14:textId="77777777" w:rsidR="00044F9E" w:rsidRPr="00DF6F74" w:rsidRDefault="00044F9E" w:rsidP="00044F9E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které budou zhotoviteli po uzavření této smlouvy sděleny bez povinnosti mlčenlivosti třetí stranou, jež rovněž není ve vztahu k nim nijak vázána</w:t>
      </w:r>
      <w:r w:rsidRPr="00DF6F74">
        <w:rPr>
          <w:rFonts w:asciiTheme="minorHAnsi" w:hAnsiTheme="minorHAnsi"/>
          <w:sz w:val="22"/>
          <w:szCs w:val="22"/>
        </w:rPr>
        <w:t>;</w:t>
      </w:r>
      <w:r w:rsidRPr="00DF6F74">
        <w:rPr>
          <w:rFonts w:asciiTheme="minorHAnsi" w:hAnsiTheme="minorHAnsi"/>
          <w:bCs/>
          <w:sz w:val="22"/>
          <w:szCs w:val="22"/>
        </w:rPr>
        <w:t xml:space="preserve"> </w:t>
      </w:r>
    </w:p>
    <w:p w14:paraId="124898C9" w14:textId="77777777" w:rsidR="00044F9E" w:rsidRPr="0096739F" w:rsidRDefault="00044F9E" w:rsidP="00044F9E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  <w:bCs/>
          <w:szCs w:val="22"/>
        </w:rPr>
      </w:pPr>
      <w:r w:rsidRPr="0096739F">
        <w:rPr>
          <w:rFonts w:asciiTheme="minorHAnsi" w:hAnsiTheme="minorHAnsi"/>
          <w:bCs/>
          <w:szCs w:val="22"/>
        </w:rPr>
        <w:t>jejichž sdělení se vyžaduje ze zákona.</w:t>
      </w:r>
    </w:p>
    <w:p w14:paraId="061A0734" w14:textId="77777777" w:rsidR="00044F9E" w:rsidRPr="00E95D5E" w:rsidRDefault="00044F9E" w:rsidP="00044F9E">
      <w:pPr>
        <w:ind w:left="709"/>
        <w:jc w:val="both"/>
        <w:rPr>
          <w:rFonts w:asciiTheme="minorHAnsi" w:hAnsiTheme="minorHAnsi"/>
          <w:bCs/>
          <w:szCs w:val="22"/>
        </w:rPr>
      </w:pPr>
      <w:r w:rsidRPr="00E95D5E">
        <w:rPr>
          <w:rFonts w:asciiTheme="minorHAnsi" w:hAnsiTheme="minorHAnsi"/>
          <w:bCs/>
          <w:sz w:val="22"/>
          <w:szCs w:val="22"/>
        </w:rPr>
        <w:t>Zhotovitel je povinen neveřejné informace užít pouze za účelem plnění této smlouvy. Jiná použití nejsou bez písemného svolení objednatele přípustná.</w:t>
      </w:r>
    </w:p>
    <w:p w14:paraId="2F930180" w14:textId="1603294A" w:rsidR="00044F9E" w:rsidRPr="00044F9E" w:rsidRDefault="00044F9E" w:rsidP="00A80221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Za prokázané porušení povinností souvisejících s ochranou důvěrných informací dle  smlouvy má druhá smluvní strana právo požadovat náhradu takto vzniklé škody.</w:t>
      </w:r>
    </w:p>
    <w:p w14:paraId="35AD5A67" w14:textId="0EA8D5F1" w:rsidR="00044F9E" w:rsidRPr="00044F9E" w:rsidRDefault="00044F9E" w:rsidP="00A80221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hotovitel je povinen dodržovat zákona č. 101/2000 Sb., o ochraně osobních údajů a o změně některých zákonů, v platném znění. Za neveřejné informace se považují vždy veškeré osobní údaje podle zákona č. 101/2000 Sb., o ochraně osobních údajů a o změně některých zákonů, v platném znění. Shromažďovat a zpracovávat osobní údaje zaměstnanců a jiných osob, event. citlivé osobní údaje lze jen v případech stanovených zákonem nebo se souhlasem nositele osobních práv.</w:t>
      </w:r>
    </w:p>
    <w:p w14:paraId="5671DF28" w14:textId="62F6A3B8" w:rsidR="00044F9E" w:rsidRPr="00044F9E" w:rsidRDefault="00044F9E" w:rsidP="00A80221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 seznámí se zněním smlouvy všechny své zaměstnance, kteří získají nebo mohou získat přístup k informacím objednatele.</w:t>
      </w:r>
    </w:p>
    <w:p w14:paraId="698AF525" w14:textId="2C45BF28" w:rsidR="00044F9E" w:rsidRDefault="00044F9E" w:rsidP="00A80221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Objednatel má právo provést kontrolu znalosti textu uvedeného v tomto bodě a rovněž má právo odmítnout přístup k informacím a informačním zařízením zaměstnancům zhotovitele, kteří neprokáží potřebné znalosti nebo jejichž chování bude v rozporu s předmětem této smlouvy nebo obecně závazných právních předpisů, aniž by to zhotovitelem bylo považováno za porušení potřebné součinnosti ze strany objednatele.</w:t>
      </w:r>
    </w:p>
    <w:p w14:paraId="0AC31A1B" w14:textId="77777777" w:rsidR="00044F9E" w:rsidRPr="00044F9E" w:rsidRDefault="00044F9E" w:rsidP="00044F9E">
      <w:pPr>
        <w:pStyle w:val="Odstavecseseznamem"/>
        <w:autoSpaceDE w:val="0"/>
        <w:autoSpaceDN w:val="0"/>
        <w:adjustRightInd w:val="0"/>
        <w:spacing w:before="120" w:after="60"/>
        <w:ind w:left="56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DE1F2D5" w14:textId="078CDD60" w:rsidR="001D1106" w:rsidRPr="00F23A58" w:rsidRDefault="001D1106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Závěrečná ujednání</w:t>
      </w:r>
    </w:p>
    <w:p w14:paraId="1BA3089F" w14:textId="69383D4C" w:rsidR="00E37FAE" w:rsidRPr="00B22CFA" w:rsidRDefault="00E37FAE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Není-li pro konkrétní věc ujednáno nebo stanoveno jinak, lze změny této smlouvy platně činit pouze dodatkem smlouvy v písemné formě. Dodatky budou číslovány vzestupně nepřerušenou číselnou řadou a v tomto pořadí budou vykládány.</w:t>
      </w:r>
    </w:p>
    <w:p w14:paraId="6D958BF9" w14:textId="334B90FD" w:rsidR="00AB68E4" w:rsidRPr="00B22CFA" w:rsidRDefault="00AB68E4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Tato smlouva nabývá platnosti okamžikem jejího podepsání poslední ze smluvních stran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účinnosti dnem jejího uveřejnění v registru smluv. Smluvní strany berou na vědomí, že nebude-li smlouva zveřejněna do 3 měsíců od jejího uzavření, je následujícím dnem zrušena od počátku. Uveřejnění smlouvy v registru smluv zajistí objednatel. Smluvní strany prohlašují, že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souhlasí s uveřejněním celého textu smlouvy</w:t>
      </w:r>
      <w:r w:rsidR="00A53AEB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, vyjma údajů chráněných podle právní úpravy ochrany osobních údajů.</w:t>
      </w:r>
    </w:p>
    <w:p w14:paraId="18459B86" w14:textId="7DE859A5" w:rsidR="00A53AEB" w:rsidRPr="00481278" w:rsidRDefault="00A53AEB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</w:t>
      </w:r>
      <w:r w:rsidRPr="00481278">
        <w:rPr>
          <w:rFonts w:asciiTheme="minorHAnsi" w:hAnsiTheme="minorHAnsi" w:cstheme="minorHAnsi"/>
          <w:sz w:val="22"/>
          <w:szCs w:val="22"/>
        </w:rPr>
        <w:t xml:space="preserve"> použity výhradně pro účely plnění této smlouvy nebo při plnění zákonem stanovených povinností. </w:t>
      </w:r>
    </w:p>
    <w:p w14:paraId="7DC9A5BD" w14:textId="7003D377" w:rsidR="00A53AEB" w:rsidRDefault="00A53AEB" w:rsidP="00DA1FB6">
      <w:pPr>
        <w:pStyle w:val="Odstavecseseznamem"/>
        <w:keepNext/>
        <w:numPr>
          <w:ilvl w:val="1"/>
          <w:numId w:val="15"/>
        </w:numPr>
        <w:spacing w:before="120" w:after="60"/>
        <w:ind w:left="794" w:hanging="5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Smluvní strany stvrzují, že si smlouvu přečetly, její obsah, včetně obsahu příloh, znají a souhlasí s ním.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5DD47144" w14:textId="3C541C33" w:rsid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1CA9325" w14:textId="45B1DE3B" w:rsid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3A75B65" w14:textId="5F2E1085" w:rsid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53CB994" w14:textId="77777777" w:rsidR="000A2AEE" w:rsidRP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31"/>
      </w:tblGrid>
      <w:tr w:rsidR="001D1106" w:rsidRPr="00F23A58" w14:paraId="0B20981F" w14:textId="77777777" w:rsidTr="0092665B">
        <w:tc>
          <w:tcPr>
            <w:tcW w:w="4111" w:type="dxa"/>
          </w:tcPr>
          <w:p w14:paraId="4DFD6187" w14:textId="38CA8F87" w:rsidR="001D1106" w:rsidRPr="00F23A58" w:rsidRDefault="001D1106" w:rsidP="001D110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Za objednatele:</w:t>
            </w:r>
          </w:p>
        </w:tc>
        <w:tc>
          <w:tcPr>
            <w:tcW w:w="4531" w:type="dxa"/>
          </w:tcPr>
          <w:p w14:paraId="0C935495" w14:textId="223A39AD" w:rsidR="001D1106" w:rsidRPr="00F23A58" w:rsidRDefault="001D1106" w:rsidP="001D110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Za zhotovitele:</w:t>
            </w:r>
          </w:p>
        </w:tc>
      </w:tr>
      <w:tr w:rsidR="001D1106" w:rsidRPr="00F23A58" w14:paraId="766A5F7D" w14:textId="77777777" w:rsidTr="0092665B">
        <w:tc>
          <w:tcPr>
            <w:tcW w:w="4111" w:type="dxa"/>
          </w:tcPr>
          <w:p w14:paraId="7C789561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3907AC51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0984B3EC" w14:textId="77777777" w:rsidTr="0092665B">
        <w:tc>
          <w:tcPr>
            <w:tcW w:w="4111" w:type="dxa"/>
          </w:tcPr>
          <w:p w14:paraId="69DE23DC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0A12AD08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1873997E" w14:textId="77777777" w:rsidTr="0092665B">
        <w:tc>
          <w:tcPr>
            <w:tcW w:w="4111" w:type="dxa"/>
          </w:tcPr>
          <w:p w14:paraId="42F7180F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1C62E18D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6BCC812E" w14:textId="77777777" w:rsidTr="0092665B">
        <w:tc>
          <w:tcPr>
            <w:tcW w:w="4111" w:type="dxa"/>
          </w:tcPr>
          <w:p w14:paraId="25D44440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5B4B1E0B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4BEDA2A9" w14:textId="77777777" w:rsidTr="0092665B">
        <w:tc>
          <w:tcPr>
            <w:tcW w:w="4111" w:type="dxa"/>
          </w:tcPr>
          <w:p w14:paraId="1F84C536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438E7A10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38EBA9E4" w14:textId="77777777" w:rsidTr="0092665B">
        <w:tc>
          <w:tcPr>
            <w:tcW w:w="4111" w:type="dxa"/>
          </w:tcPr>
          <w:p w14:paraId="768607FB" w14:textId="7445B526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____________________</w:t>
            </w:r>
          </w:p>
        </w:tc>
        <w:tc>
          <w:tcPr>
            <w:tcW w:w="4531" w:type="dxa"/>
          </w:tcPr>
          <w:p w14:paraId="0EED192E" w14:textId="44270C84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____________________</w:t>
            </w:r>
          </w:p>
        </w:tc>
      </w:tr>
      <w:tr w:rsidR="001D1106" w:rsidRPr="00F23A58" w14:paraId="7F87549D" w14:textId="77777777" w:rsidTr="0092665B">
        <w:tc>
          <w:tcPr>
            <w:tcW w:w="4111" w:type="dxa"/>
          </w:tcPr>
          <w:p w14:paraId="43E161CD" w14:textId="06E72B6A" w:rsidR="001D1106" w:rsidRPr="00F23A58" w:rsidRDefault="00F23A58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Ing. Markéta Drahošová</w:t>
            </w:r>
          </w:p>
        </w:tc>
        <w:tc>
          <w:tcPr>
            <w:tcW w:w="4531" w:type="dxa"/>
          </w:tcPr>
          <w:p w14:paraId="3871C45F" w14:textId="3B4D0E20" w:rsidR="001D1106" w:rsidRPr="00F23A58" w:rsidRDefault="00AD79A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1D1106" w:rsidRPr="00F23A58" w14:paraId="0EBCD7FF" w14:textId="77777777" w:rsidTr="0092665B">
        <w:tc>
          <w:tcPr>
            <w:tcW w:w="4111" w:type="dxa"/>
          </w:tcPr>
          <w:p w14:paraId="6DC118CB" w14:textId="34E9666F" w:rsidR="001D1106" w:rsidRPr="00F23A58" w:rsidRDefault="000A2AEE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ř</w:t>
            </w:r>
            <w:r w:rsidR="00F23A58">
              <w:rPr>
                <w:rFonts w:asciiTheme="minorHAnsi" w:hAnsiTheme="minorHAnsi" w:cstheme="minorHAnsi"/>
                <w:color w:val="000000"/>
                <w:sz w:val="22"/>
              </w:rPr>
              <w:t>editelka školy</w:t>
            </w:r>
          </w:p>
        </w:tc>
        <w:tc>
          <w:tcPr>
            <w:tcW w:w="4531" w:type="dxa"/>
          </w:tcPr>
          <w:p w14:paraId="1E773C58" w14:textId="77777777" w:rsidR="001D1106" w:rsidRDefault="00AD79A6" w:rsidP="001D110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  <w:p w14:paraId="23E12107" w14:textId="6AD89F84" w:rsidR="0092665B" w:rsidRPr="00F23A58" w:rsidRDefault="0092665B" w:rsidP="0092665B">
            <w:pPr>
              <w:ind w:right="-2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100D2" w:rsidRPr="00F23A58" w14:paraId="6AE16FE0" w14:textId="77777777" w:rsidTr="0092665B">
        <w:tc>
          <w:tcPr>
            <w:tcW w:w="4111" w:type="dxa"/>
          </w:tcPr>
          <w:p w14:paraId="71F7B560" w14:textId="77777777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46F61DC9" w14:textId="77777777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100D2" w:rsidRPr="00F23A58" w14:paraId="2305B9EA" w14:textId="77777777" w:rsidTr="0092665B">
        <w:tc>
          <w:tcPr>
            <w:tcW w:w="4111" w:type="dxa"/>
          </w:tcPr>
          <w:p w14:paraId="25EBBDB1" w14:textId="49212A2C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5FD900EF" w14:textId="77777777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22C11D9" w14:textId="77777777" w:rsidR="0092665B" w:rsidRPr="00652AF3" w:rsidRDefault="0092665B" w:rsidP="0092665B">
      <w:pPr>
        <w:ind w:right="-24"/>
        <w:jc w:val="both"/>
        <w:rPr>
          <w:rFonts w:asciiTheme="minorHAnsi" w:hAnsiTheme="minorHAnsi" w:cs="Arial"/>
          <w:b/>
          <w:sz w:val="22"/>
        </w:rPr>
      </w:pPr>
      <w:r w:rsidRPr="00652AF3">
        <w:rPr>
          <w:rFonts w:asciiTheme="minorHAnsi" w:hAnsiTheme="minorHAnsi" w:cs="Arial"/>
          <w:b/>
          <w:sz w:val="22"/>
        </w:rPr>
        <w:t xml:space="preserve">Příloha č. 1 - Oceněné soupisy stavebních prací s výkazem výměr </w:t>
      </w:r>
    </w:p>
    <w:p w14:paraId="75347AB4" w14:textId="79795BB4" w:rsidR="0092665B" w:rsidRPr="00652AF3" w:rsidRDefault="00A5362A" w:rsidP="0092665B">
      <w:pPr>
        <w:ind w:right="-24"/>
        <w:jc w:val="both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Příloha č. 2</w:t>
      </w:r>
      <w:r w:rsidR="0092665B" w:rsidRPr="00652AF3">
        <w:rPr>
          <w:rFonts w:asciiTheme="minorHAnsi" w:hAnsiTheme="minorHAnsi" w:cs="Arial"/>
          <w:b/>
          <w:sz w:val="22"/>
        </w:rPr>
        <w:t xml:space="preserve"> - Provozní a technické podmínky realizace stavby </w:t>
      </w:r>
    </w:p>
    <w:p w14:paraId="573B75B8" w14:textId="50D47FC4" w:rsidR="00A53AEB" w:rsidRPr="00F23A58" w:rsidRDefault="00A53AEB" w:rsidP="00E20CEE">
      <w:pPr>
        <w:jc w:val="both"/>
        <w:rPr>
          <w:rFonts w:asciiTheme="minorHAnsi" w:hAnsiTheme="minorHAnsi" w:cstheme="minorHAnsi"/>
          <w:sz w:val="2"/>
          <w:szCs w:val="2"/>
        </w:rPr>
      </w:pPr>
      <w:bookmarkStart w:id="0" w:name="_GoBack"/>
      <w:bookmarkEnd w:id="0"/>
    </w:p>
    <w:sectPr w:rsidR="00A53AEB" w:rsidRPr="00F23A58" w:rsidSect="00C916AE">
      <w:footerReference w:type="default" r:id="rId7"/>
      <w:footerReference w:type="first" r:id="rId8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87881" w14:textId="77777777" w:rsidR="0034396F" w:rsidRDefault="0034396F" w:rsidP="00B100D2">
      <w:r>
        <w:separator/>
      </w:r>
    </w:p>
  </w:endnote>
  <w:endnote w:type="continuationSeparator" w:id="0">
    <w:p w14:paraId="65FD98EE" w14:textId="77777777" w:rsidR="0034396F" w:rsidRDefault="0034396F" w:rsidP="00B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798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0439DD7B" w14:textId="51CEA634" w:rsidR="00232C36" w:rsidRPr="001F0C4D" w:rsidRDefault="00232C36">
        <w:pPr>
          <w:pStyle w:val="Zpat"/>
          <w:jc w:val="center"/>
          <w:rPr>
            <w:rFonts w:asciiTheme="minorHAnsi" w:hAnsiTheme="minorHAnsi" w:cstheme="minorHAnsi"/>
            <w:sz w:val="22"/>
          </w:rPr>
        </w:pPr>
        <w:r w:rsidRPr="001F0C4D">
          <w:rPr>
            <w:rFonts w:asciiTheme="minorHAnsi" w:hAnsiTheme="minorHAnsi" w:cstheme="minorHAnsi"/>
            <w:sz w:val="22"/>
          </w:rPr>
          <w:fldChar w:fldCharType="begin"/>
        </w:r>
        <w:r w:rsidRPr="001F0C4D">
          <w:rPr>
            <w:rFonts w:asciiTheme="minorHAnsi" w:hAnsiTheme="minorHAnsi" w:cstheme="minorHAnsi"/>
            <w:sz w:val="22"/>
          </w:rPr>
          <w:instrText>PAGE   \* MERGEFORMAT</w:instrText>
        </w:r>
        <w:r w:rsidRPr="001F0C4D">
          <w:rPr>
            <w:rFonts w:asciiTheme="minorHAnsi" w:hAnsiTheme="minorHAnsi" w:cstheme="minorHAnsi"/>
            <w:sz w:val="22"/>
          </w:rPr>
          <w:fldChar w:fldCharType="separate"/>
        </w:r>
        <w:r w:rsidR="003647BF">
          <w:rPr>
            <w:rFonts w:asciiTheme="minorHAnsi" w:hAnsiTheme="minorHAnsi" w:cstheme="minorHAnsi"/>
            <w:noProof/>
            <w:sz w:val="22"/>
          </w:rPr>
          <w:t>7</w:t>
        </w:r>
        <w:r w:rsidRPr="001F0C4D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3108149D" w14:textId="77777777" w:rsidR="00232C36" w:rsidRDefault="00232C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030F" w14:textId="58D6984A" w:rsidR="00232C36" w:rsidRDefault="00232C36">
    <w:pPr>
      <w:pStyle w:val="Zpat"/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044F9E"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E62ED" w14:textId="77777777" w:rsidR="0034396F" w:rsidRDefault="0034396F" w:rsidP="00B100D2">
      <w:r>
        <w:separator/>
      </w:r>
    </w:p>
  </w:footnote>
  <w:footnote w:type="continuationSeparator" w:id="0">
    <w:p w14:paraId="0ED6FF27" w14:textId="77777777" w:rsidR="0034396F" w:rsidRDefault="0034396F" w:rsidP="00B1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732"/>
    <w:multiLevelType w:val="hybridMultilevel"/>
    <w:tmpl w:val="618A651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167476"/>
    <w:multiLevelType w:val="hybridMultilevel"/>
    <w:tmpl w:val="5DD66906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4467D"/>
    <w:multiLevelType w:val="hybridMultilevel"/>
    <w:tmpl w:val="CCCEAED4"/>
    <w:lvl w:ilvl="0" w:tplc="BF883C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B2E69"/>
    <w:multiLevelType w:val="hybridMultilevel"/>
    <w:tmpl w:val="2E0CC91E"/>
    <w:lvl w:ilvl="0" w:tplc="3CE69CA0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9D20550"/>
    <w:multiLevelType w:val="hybridMultilevel"/>
    <w:tmpl w:val="FBC8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C73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543287"/>
    <w:multiLevelType w:val="hybridMultilevel"/>
    <w:tmpl w:val="1FBCB5C6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8AB3C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D57A27"/>
    <w:multiLevelType w:val="hybridMultilevel"/>
    <w:tmpl w:val="CB4A5A2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6473F6"/>
    <w:multiLevelType w:val="multilevel"/>
    <w:tmpl w:val="EC5295D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8B5F9A"/>
    <w:multiLevelType w:val="hybridMultilevel"/>
    <w:tmpl w:val="25FA6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177AF"/>
    <w:multiLevelType w:val="hybridMultilevel"/>
    <w:tmpl w:val="74FC72F8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556E6"/>
    <w:multiLevelType w:val="hybridMultilevel"/>
    <w:tmpl w:val="55AC3860"/>
    <w:lvl w:ilvl="0" w:tplc="A80A368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65C75B52"/>
    <w:multiLevelType w:val="hybridMultilevel"/>
    <w:tmpl w:val="72E43038"/>
    <w:lvl w:ilvl="0" w:tplc="3806CE72">
      <w:start w:val="1"/>
      <w:numFmt w:val="bullet"/>
      <w:lvlText w:val="-"/>
      <w:lvlJc w:val="left"/>
      <w:pPr>
        <w:ind w:left="111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67097EF2"/>
    <w:multiLevelType w:val="hybridMultilevel"/>
    <w:tmpl w:val="0AB87FF2"/>
    <w:lvl w:ilvl="0" w:tplc="59D6F96E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6E9D439D"/>
    <w:multiLevelType w:val="hybridMultilevel"/>
    <w:tmpl w:val="9C4CA0E2"/>
    <w:lvl w:ilvl="0" w:tplc="0116E9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948CB"/>
    <w:multiLevelType w:val="hybridMultilevel"/>
    <w:tmpl w:val="AFB0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1503D"/>
    <w:multiLevelType w:val="hybridMultilevel"/>
    <w:tmpl w:val="0D5A7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820D7"/>
    <w:multiLevelType w:val="hybridMultilevel"/>
    <w:tmpl w:val="2C18DD8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50930FD"/>
    <w:multiLevelType w:val="multilevel"/>
    <w:tmpl w:val="853CC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C90756C"/>
    <w:multiLevelType w:val="hybridMultilevel"/>
    <w:tmpl w:val="1B4A5202"/>
    <w:lvl w:ilvl="0" w:tplc="8E7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0"/>
  </w:num>
  <w:num w:numId="5">
    <w:abstractNumId w:val="14"/>
  </w:num>
  <w:num w:numId="6">
    <w:abstractNumId w:val="11"/>
  </w:num>
  <w:num w:numId="7">
    <w:abstractNumId w:val="1"/>
  </w:num>
  <w:num w:numId="8">
    <w:abstractNumId w:val="17"/>
  </w:num>
  <w:num w:numId="9">
    <w:abstractNumId w:val="6"/>
  </w:num>
  <w:num w:numId="10">
    <w:abstractNumId w:val="3"/>
  </w:num>
  <w:num w:numId="11">
    <w:abstractNumId w:val="18"/>
  </w:num>
  <w:num w:numId="12">
    <w:abstractNumId w:val="7"/>
  </w:num>
  <w:num w:numId="13">
    <w:abstractNumId w:val="12"/>
  </w:num>
  <w:num w:numId="14">
    <w:abstractNumId w:val="5"/>
  </w:num>
  <w:num w:numId="15">
    <w:abstractNumId w:val="19"/>
  </w:num>
  <w:num w:numId="16">
    <w:abstractNumId w:val="15"/>
  </w:num>
  <w:num w:numId="17">
    <w:abstractNumId w:val="2"/>
  </w:num>
  <w:num w:numId="18">
    <w:abstractNumId w:val="9"/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2"/>
    <w:rsid w:val="00007EE3"/>
    <w:rsid w:val="000105C9"/>
    <w:rsid w:val="000279FD"/>
    <w:rsid w:val="00040294"/>
    <w:rsid w:val="00041FC8"/>
    <w:rsid w:val="00044F9E"/>
    <w:rsid w:val="00046437"/>
    <w:rsid w:val="000703B0"/>
    <w:rsid w:val="0008067C"/>
    <w:rsid w:val="00084BE7"/>
    <w:rsid w:val="000A2AEE"/>
    <w:rsid w:val="000D6C90"/>
    <w:rsid w:val="00114860"/>
    <w:rsid w:val="00116B23"/>
    <w:rsid w:val="00142AFB"/>
    <w:rsid w:val="00171E63"/>
    <w:rsid w:val="001B2B2D"/>
    <w:rsid w:val="001C7CD7"/>
    <w:rsid w:val="001D1106"/>
    <w:rsid w:val="001F0C4D"/>
    <w:rsid w:val="00230CDB"/>
    <w:rsid w:val="00232C36"/>
    <w:rsid w:val="00233BEF"/>
    <w:rsid w:val="00251CBF"/>
    <w:rsid w:val="0025466D"/>
    <w:rsid w:val="00257014"/>
    <w:rsid w:val="00262682"/>
    <w:rsid w:val="00263BA8"/>
    <w:rsid w:val="00275C6D"/>
    <w:rsid w:val="0029128A"/>
    <w:rsid w:val="002B1CE4"/>
    <w:rsid w:val="0034396F"/>
    <w:rsid w:val="003522B6"/>
    <w:rsid w:val="00360819"/>
    <w:rsid w:val="003647BF"/>
    <w:rsid w:val="00371EE6"/>
    <w:rsid w:val="0037269F"/>
    <w:rsid w:val="003778B7"/>
    <w:rsid w:val="00377E9D"/>
    <w:rsid w:val="00381061"/>
    <w:rsid w:val="004016DA"/>
    <w:rsid w:val="00411482"/>
    <w:rsid w:val="00454122"/>
    <w:rsid w:val="00477419"/>
    <w:rsid w:val="00481278"/>
    <w:rsid w:val="00486EA3"/>
    <w:rsid w:val="004877BF"/>
    <w:rsid w:val="004943CC"/>
    <w:rsid w:val="004A284B"/>
    <w:rsid w:val="004D3A13"/>
    <w:rsid w:val="004E6FC6"/>
    <w:rsid w:val="00512AA1"/>
    <w:rsid w:val="00516009"/>
    <w:rsid w:val="00530FCD"/>
    <w:rsid w:val="0057429E"/>
    <w:rsid w:val="005812FF"/>
    <w:rsid w:val="00585AFD"/>
    <w:rsid w:val="005B3ABB"/>
    <w:rsid w:val="005C5967"/>
    <w:rsid w:val="005D041D"/>
    <w:rsid w:val="005D66CE"/>
    <w:rsid w:val="005E6D63"/>
    <w:rsid w:val="005F3107"/>
    <w:rsid w:val="005F4748"/>
    <w:rsid w:val="00620D31"/>
    <w:rsid w:val="00626E57"/>
    <w:rsid w:val="006371D3"/>
    <w:rsid w:val="006404B4"/>
    <w:rsid w:val="00650934"/>
    <w:rsid w:val="0065126B"/>
    <w:rsid w:val="00654F35"/>
    <w:rsid w:val="00693492"/>
    <w:rsid w:val="006A095F"/>
    <w:rsid w:val="006A4C95"/>
    <w:rsid w:val="006B1310"/>
    <w:rsid w:val="006B4164"/>
    <w:rsid w:val="006C16BF"/>
    <w:rsid w:val="006D5957"/>
    <w:rsid w:val="006F1DE8"/>
    <w:rsid w:val="0070484E"/>
    <w:rsid w:val="00705C6E"/>
    <w:rsid w:val="00791670"/>
    <w:rsid w:val="007B4BA6"/>
    <w:rsid w:val="007C4BAE"/>
    <w:rsid w:val="007C738D"/>
    <w:rsid w:val="007F310D"/>
    <w:rsid w:val="00800439"/>
    <w:rsid w:val="008050E7"/>
    <w:rsid w:val="00807DB5"/>
    <w:rsid w:val="00817D6F"/>
    <w:rsid w:val="00881429"/>
    <w:rsid w:val="008912C6"/>
    <w:rsid w:val="00891509"/>
    <w:rsid w:val="008B37AC"/>
    <w:rsid w:val="008C49E9"/>
    <w:rsid w:val="008D0157"/>
    <w:rsid w:val="008D3A65"/>
    <w:rsid w:val="00922A9C"/>
    <w:rsid w:val="009232F0"/>
    <w:rsid w:val="00923343"/>
    <w:rsid w:val="0092665B"/>
    <w:rsid w:val="00954C63"/>
    <w:rsid w:val="00972623"/>
    <w:rsid w:val="00982DE3"/>
    <w:rsid w:val="009832B0"/>
    <w:rsid w:val="0098367D"/>
    <w:rsid w:val="009F7264"/>
    <w:rsid w:val="00A14A5C"/>
    <w:rsid w:val="00A53128"/>
    <w:rsid w:val="00A5362A"/>
    <w:rsid w:val="00A53AEB"/>
    <w:rsid w:val="00A75B31"/>
    <w:rsid w:val="00A80221"/>
    <w:rsid w:val="00A81E90"/>
    <w:rsid w:val="00A87D42"/>
    <w:rsid w:val="00AB43F5"/>
    <w:rsid w:val="00AB68E4"/>
    <w:rsid w:val="00AC5FA1"/>
    <w:rsid w:val="00AD79A6"/>
    <w:rsid w:val="00AE0CB0"/>
    <w:rsid w:val="00AE2898"/>
    <w:rsid w:val="00AE5460"/>
    <w:rsid w:val="00B030F5"/>
    <w:rsid w:val="00B100D2"/>
    <w:rsid w:val="00B22CFA"/>
    <w:rsid w:val="00B35FB2"/>
    <w:rsid w:val="00B428B2"/>
    <w:rsid w:val="00B604F4"/>
    <w:rsid w:val="00B802A7"/>
    <w:rsid w:val="00BD41DE"/>
    <w:rsid w:val="00BF515D"/>
    <w:rsid w:val="00C414A4"/>
    <w:rsid w:val="00C70C2A"/>
    <w:rsid w:val="00C916AE"/>
    <w:rsid w:val="00C93AFA"/>
    <w:rsid w:val="00CA239C"/>
    <w:rsid w:val="00CA25A1"/>
    <w:rsid w:val="00CA7BDD"/>
    <w:rsid w:val="00CC78EF"/>
    <w:rsid w:val="00D15139"/>
    <w:rsid w:val="00D15FE2"/>
    <w:rsid w:val="00D23A10"/>
    <w:rsid w:val="00D33761"/>
    <w:rsid w:val="00D34866"/>
    <w:rsid w:val="00D4270B"/>
    <w:rsid w:val="00D82229"/>
    <w:rsid w:val="00D90DD1"/>
    <w:rsid w:val="00DA1FB6"/>
    <w:rsid w:val="00DD41D0"/>
    <w:rsid w:val="00DF6F74"/>
    <w:rsid w:val="00E20CEE"/>
    <w:rsid w:val="00E33DF4"/>
    <w:rsid w:val="00E37FAE"/>
    <w:rsid w:val="00E523A5"/>
    <w:rsid w:val="00E57740"/>
    <w:rsid w:val="00E67699"/>
    <w:rsid w:val="00EB3D18"/>
    <w:rsid w:val="00F070B0"/>
    <w:rsid w:val="00F12538"/>
    <w:rsid w:val="00F152BE"/>
    <w:rsid w:val="00F16081"/>
    <w:rsid w:val="00F23A58"/>
    <w:rsid w:val="00F31731"/>
    <w:rsid w:val="00F323DB"/>
    <w:rsid w:val="00F4242D"/>
    <w:rsid w:val="00F52DBC"/>
    <w:rsid w:val="00F53AE6"/>
    <w:rsid w:val="00F55608"/>
    <w:rsid w:val="00F55C29"/>
    <w:rsid w:val="00F709BF"/>
    <w:rsid w:val="00F979B8"/>
    <w:rsid w:val="00FA6DCE"/>
    <w:rsid w:val="00FB6852"/>
    <w:rsid w:val="00FC1CFD"/>
    <w:rsid w:val="00FC7F9E"/>
    <w:rsid w:val="00FD2AC7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CB547"/>
  <w15:chartTrackingRefBased/>
  <w15:docId w15:val="{EC7379E1-C1B0-4C42-9C5A-F5D1F72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4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4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43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D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99"/>
    <w:qFormat/>
    <w:rsid w:val="00AE0CB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link w:val="Odstavecseseznamem"/>
    <w:uiPriority w:val="99"/>
    <w:qFormat/>
    <w:rsid w:val="00AE0C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0">
    <w:name w:val="Odstavec0"/>
    <w:basedOn w:val="Normln"/>
    <w:rsid w:val="0070484E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Textvbloku">
    <w:name w:val="Block Text"/>
    <w:basedOn w:val="Normln"/>
    <w:rsid w:val="0065126B"/>
    <w:pPr>
      <w:ind w:left="360" w:right="-24" w:hanging="360"/>
      <w:jc w:val="both"/>
    </w:pPr>
    <w:rPr>
      <w:rFonts w:ascii="Arial" w:hAnsi="Arial" w:cs="Arial"/>
    </w:rPr>
  </w:style>
  <w:style w:type="paragraph" w:customStyle="1" w:styleId="Style34">
    <w:name w:val="Style34"/>
    <w:basedOn w:val="Normln"/>
    <w:uiPriority w:val="99"/>
    <w:rsid w:val="0092665B"/>
    <w:pPr>
      <w:widowControl w:val="0"/>
      <w:autoSpaceDE w:val="0"/>
      <w:autoSpaceDN w:val="0"/>
      <w:adjustRightInd w:val="0"/>
      <w:spacing w:line="275" w:lineRule="exact"/>
      <w:ind w:hanging="335"/>
      <w:jc w:val="both"/>
    </w:pPr>
  </w:style>
  <w:style w:type="character" w:customStyle="1" w:styleId="FontStyle44">
    <w:name w:val="Font Style44"/>
    <w:basedOn w:val="Standardnpsmoodstavce"/>
    <w:uiPriority w:val="99"/>
    <w:rsid w:val="0092665B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3177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Markéta Drahošová</cp:lastModifiedBy>
  <cp:revision>13</cp:revision>
  <cp:lastPrinted>2023-09-04T06:39:00Z</cp:lastPrinted>
  <dcterms:created xsi:type="dcterms:W3CDTF">2025-06-09T09:39:00Z</dcterms:created>
  <dcterms:modified xsi:type="dcterms:W3CDTF">2025-07-31T11:04:00Z</dcterms:modified>
</cp:coreProperties>
</file>