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1E03C8F5" w:rsidR="00E174BC" w:rsidRDefault="003B339F" w:rsidP="00FD4231">
      <w:pPr>
        <w:rPr>
          <w:rFonts w:ascii="Calibri" w:hAnsi="Calibri" w:cs="Calibri"/>
          <w:b/>
          <w:sz w:val="28"/>
          <w:szCs w:val="28"/>
        </w:rPr>
      </w:pPr>
      <w:r w:rsidRPr="004617FC">
        <w:rPr>
          <w:rFonts w:ascii="Calibri" w:hAnsi="Calibri" w:cs="Calibri"/>
          <w:b/>
          <w:sz w:val="28"/>
          <w:szCs w:val="28"/>
        </w:rPr>
        <w:t xml:space="preserve">Příloha č. 2 </w:t>
      </w:r>
      <w:r w:rsidR="00884473">
        <w:rPr>
          <w:rFonts w:ascii="Calibri" w:hAnsi="Calibri" w:cs="Calibri"/>
          <w:b/>
          <w:sz w:val="28"/>
          <w:szCs w:val="28"/>
        </w:rPr>
        <w:t>výzvy</w:t>
      </w:r>
      <w:r w:rsidRPr="004617FC">
        <w:rPr>
          <w:rFonts w:ascii="Calibri" w:hAnsi="Calibri" w:cs="Calibri"/>
          <w:b/>
          <w:sz w:val="28"/>
          <w:szCs w:val="28"/>
        </w:rPr>
        <w:t xml:space="preserv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3320BF">
      <w:pPr>
        <w:pStyle w:val="Bezmezer"/>
        <w:tabs>
          <w:tab w:val="left" w:pos="2268"/>
        </w:tabs>
        <w:spacing w:line="276" w:lineRule="auto"/>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3320BF">
      <w:pPr>
        <w:pStyle w:val="Bezmezer"/>
        <w:spacing w:line="276" w:lineRule="auto"/>
        <w:ind w:left="426"/>
        <w:jc w:val="both"/>
        <w:rPr>
          <w:rFonts w:cs="Calibri"/>
        </w:rPr>
      </w:pPr>
      <w:r w:rsidRPr="004617FC">
        <w:rPr>
          <w:rFonts w:cs="Calibri"/>
        </w:rPr>
        <w:t>zapsaná v obchodním rejstříku vedeném u Krajského soudu v Hradci Králové, oddíl B, vložka 2629</w:t>
      </w:r>
    </w:p>
    <w:p w14:paraId="7F680FFD" w14:textId="33C08389" w:rsidR="00096DC0" w:rsidRPr="000E2E5A" w:rsidRDefault="0002305D" w:rsidP="003320BF">
      <w:pPr>
        <w:spacing w:line="276" w:lineRule="auto"/>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p>
    <w:p w14:paraId="563A5099" w14:textId="77777777" w:rsidR="00096DC0" w:rsidRPr="004617FC" w:rsidRDefault="00096DC0" w:rsidP="003320BF">
      <w:pPr>
        <w:spacing w:line="276" w:lineRule="auto"/>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D47716C" w:rsidR="0024457F" w:rsidRPr="0002305D" w:rsidRDefault="005F38F7" w:rsidP="003320BF">
      <w:pPr>
        <w:pStyle w:val="Odstavecseseznamem"/>
        <w:numPr>
          <w:ilvl w:val="0"/>
          <w:numId w:val="20"/>
        </w:numPr>
        <w:spacing w:line="276" w:lineRule="auto"/>
        <w:ind w:left="426" w:hanging="426"/>
        <w:rPr>
          <w:rFonts w:ascii="Calibri" w:hAnsi="Calibri" w:cs="Calibri"/>
          <w:bCs/>
          <w:i/>
          <w:iCs/>
          <w:sz w:val="24"/>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02305D">
        <w:rPr>
          <w:rFonts w:ascii="Calibri" w:hAnsi="Calibri" w:cs="Calibri"/>
          <w:sz w:val="28"/>
          <w:szCs w:val="28"/>
          <w:highlight w:val="yellow"/>
        </w:rPr>
        <w:t xml:space="preserve"> </w:t>
      </w:r>
      <w:r w:rsidR="0002305D" w:rsidRPr="0002305D">
        <w:rPr>
          <w:rFonts w:ascii="Calibri" w:hAnsi="Calibri" w:cs="Calibri"/>
          <w:i/>
          <w:iCs/>
          <w:sz w:val="24"/>
          <w:highlight w:val="yellow"/>
        </w:rPr>
        <w:t xml:space="preserve">(doplní </w:t>
      </w:r>
      <w:r w:rsidR="0002305D">
        <w:rPr>
          <w:rFonts w:ascii="Calibri" w:hAnsi="Calibri" w:cs="Calibri"/>
          <w:i/>
          <w:iCs/>
          <w:sz w:val="24"/>
          <w:highlight w:val="yellow"/>
        </w:rPr>
        <w:t>dodavatel</w:t>
      </w:r>
      <w:r w:rsidR="0002305D" w:rsidRPr="0002305D">
        <w:rPr>
          <w:rFonts w:ascii="Calibri" w:hAnsi="Calibri" w:cs="Calibri"/>
          <w:i/>
          <w:iCs/>
          <w:sz w:val="24"/>
          <w:highlight w:val="yellow"/>
        </w:rPr>
        <w:t>)</w:t>
      </w:r>
    </w:p>
    <w:p w14:paraId="112C8EEF" w14:textId="428F1FF6" w:rsidR="0024457F" w:rsidRPr="004617FC" w:rsidRDefault="00F13DBC" w:rsidP="003320BF">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4FD89313" w:rsidR="0024457F" w:rsidRPr="004617FC"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07C9F4F7" w:rsidR="0024457F" w:rsidRPr="004617FC" w:rsidRDefault="0024457F" w:rsidP="003320BF">
      <w:pPr>
        <w:tabs>
          <w:tab w:val="left" w:pos="2268"/>
        </w:tabs>
        <w:spacing w:line="276" w:lineRule="auto"/>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69C75DFA" w:rsidR="0024457F" w:rsidRPr="004617FC" w:rsidRDefault="0024457F" w:rsidP="003320BF">
      <w:pPr>
        <w:spacing w:line="276" w:lineRule="auto"/>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206D2D25" w:rsidR="00F13DBC"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7699872" w:rsidR="0024457F"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rsidP="003320BF">
      <w:pPr>
        <w:pStyle w:val="Bezmezer"/>
        <w:spacing w:line="276" w:lineRule="auto"/>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3320BF">
      <w:pPr>
        <w:spacing w:line="276" w:lineRule="auto"/>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proofErr w:type="gramStart"/>
      <w:r w:rsidR="00074CC0" w:rsidRPr="004F3257">
        <w:rPr>
          <w:rFonts w:ascii="Calibri" w:hAnsi="Calibri" w:cs="Calibri"/>
          <w:sz w:val="22"/>
          <w:szCs w:val="22"/>
          <w:highlight w:val="yellow"/>
        </w:rPr>
        <w:t>…….</w:t>
      </w:r>
      <w:proofErr w:type="gramEnd"/>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2B270400" w:rsidR="006C1A7A" w:rsidRPr="004617FC" w:rsidRDefault="006C1A7A" w:rsidP="003320BF">
      <w:pPr>
        <w:pStyle w:val="Bezmezer"/>
        <w:tabs>
          <w:tab w:val="left" w:pos="426"/>
        </w:tabs>
        <w:spacing w:line="276" w:lineRule="auto"/>
        <w:rPr>
          <w:rFonts w:eastAsia="Times New Roman" w:cs="Calibri"/>
          <w:lang w:eastAsia="cs-CZ"/>
        </w:rPr>
      </w:pPr>
      <w:r w:rsidRPr="004617FC">
        <w:rPr>
          <w:rFonts w:eastAsia="Times New Roman" w:cs="Calibri"/>
          <w:lang w:eastAsia="cs-CZ"/>
        </w:rPr>
        <w:tab/>
      </w:r>
      <w:r w:rsidR="000E2E5A">
        <w:rPr>
          <w:rFonts w:eastAsia="Times New Roman" w:cs="Calibri"/>
          <w:lang w:eastAsia="cs-CZ"/>
        </w:rPr>
        <w:t>Kontaktní e-mail:</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489CA1E6" w:rsidR="0024457F" w:rsidRPr="004617FC" w:rsidRDefault="006C1A7A" w:rsidP="003320BF">
      <w:pPr>
        <w:pStyle w:val="Bezmezer"/>
        <w:tabs>
          <w:tab w:val="left" w:pos="426"/>
        </w:tabs>
        <w:spacing w:line="276" w:lineRule="auto"/>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FB2127">
        <w:rPr>
          <w:rFonts w:cs="Calibri"/>
        </w:rPr>
        <w:t xml:space="preserve"> </w:t>
      </w:r>
      <w:r w:rsidR="004F3257" w:rsidRPr="004F3257">
        <w:rPr>
          <w:rFonts w:cs="Calibri"/>
          <w:highlight w:val="yellow"/>
        </w:rPr>
        <w:t>………………….</w:t>
      </w:r>
    </w:p>
    <w:p w14:paraId="6FBA7C1D" w14:textId="77777777" w:rsidR="0024457F" w:rsidRPr="004617FC"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3320BF">
      <w:pPr>
        <w:rPr>
          <w:rFonts w:ascii="Calibri" w:hAnsi="Calibri" w:cs="Calibri"/>
          <w:sz w:val="22"/>
          <w:szCs w:val="22"/>
        </w:rPr>
      </w:pPr>
    </w:p>
    <w:p w14:paraId="61C995AD" w14:textId="07FAC363" w:rsidR="00433124" w:rsidRPr="003A7F23" w:rsidRDefault="0024457F" w:rsidP="003320BF">
      <w:pPr>
        <w:jc w:val="both"/>
        <w:rPr>
          <w:rFonts w:ascii="Calibri" w:hAnsi="Calibri" w:cs="Calibri"/>
          <w:b/>
          <w:bCs/>
          <w:sz w:val="22"/>
          <w:szCs w:val="22"/>
        </w:rPr>
      </w:pPr>
      <w:r w:rsidRPr="004617FC">
        <w:rPr>
          <w:rFonts w:ascii="Calibri" w:hAnsi="Calibri" w:cs="Calibri"/>
          <w:sz w:val="22"/>
          <w:szCs w:val="22"/>
        </w:rPr>
        <w:t xml:space="preserve">Podkladem pro uzavření této smlouvy je nabídka </w:t>
      </w:r>
      <w:r w:rsidR="00E51AB2" w:rsidRPr="004617FC">
        <w:rPr>
          <w:rFonts w:ascii="Calibri" w:hAnsi="Calibri" w:cs="Calibri"/>
          <w:sz w:val="22"/>
          <w:szCs w:val="22"/>
        </w:rPr>
        <w:t xml:space="preserve">vybraného </w:t>
      </w:r>
      <w:r w:rsidRPr="004617FC">
        <w:rPr>
          <w:rFonts w:ascii="Calibri" w:hAnsi="Calibri" w:cs="Calibri"/>
          <w:sz w:val="22"/>
          <w:szCs w:val="22"/>
        </w:rPr>
        <w:t>dodavatele</w:t>
      </w:r>
      <w:r w:rsidR="00010765" w:rsidRPr="004617FC">
        <w:rPr>
          <w:rFonts w:ascii="Calibri" w:hAnsi="Calibri" w:cs="Calibri"/>
          <w:sz w:val="22"/>
          <w:szCs w:val="22"/>
        </w:rPr>
        <w:t xml:space="preserve"> </w:t>
      </w:r>
      <w:r w:rsidRPr="004617FC">
        <w:rPr>
          <w:rFonts w:ascii="Calibri" w:hAnsi="Calibri" w:cs="Calibri"/>
          <w:sz w:val="22"/>
          <w:szCs w:val="22"/>
        </w:rPr>
        <w:t xml:space="preserve">předložená </w:t>
      </w:r>
      <w:r w:rsidR="00336A0D" w:rsidRPr="004617FC">
        <w:rPr>
          <w:rFonts w:ascii="Calibri" w:hAnsi="Calibri" w:cs="Calibri"/>
          <w:sz w:val="22"/>
          <w:szCs w:val="22"/>
        </w:rPr>
        <w:t xml:space="preserve">v rámci zadávacího řízení zadávaného </w:t>
      </w:r>
      <w:r w:rsidR="00884473">
        <w:rPr>
          <w:rFonts w:ascii="Calibri" w:hAnsi="Calibri" w:cs="Calibri"/>
          <w:sz w:val="22"/>
          <w:szCs w:val="22"/>
        </w:rPr>
        <w:t>ve zjednodušeném podlimitním</w:t>
      </w:r>
      <w:r w:rsidR="00336A0D" w:rsidRPr="004617FC">
        <w:rPr>
          <w:rFonts w:ascii="Calibri" w:hAnsi="Calibri" w:cs="Calibri"/>
          <w:sz w:val="22"/>
          <w:szCs w:val="22"/>
        </w:rPr>
        <w:t xml:space="preserve"> řízení na </w:t>
      </w:r>
      <w:r w:rsidR="00336A0D" w:rsidRPr="004617FC">
        <w:rPr>
          <w:rFonts w:ascii="Calibri" w:hAnsi="Calibri" w:cs="Calibri"/>
          <w:iCs/>
          <w:sz w:val="22"/>
          <w:szCs w:val="22"/>
        </w:rPr>
        <w:t>dodávky</w:t>
      </w:r>
      <w:r w:rsidR="00336A0D" w:rsidRPr="004617FC">
        <w:rPr>
          <w:rFonts w:ascii="Calibri" w:hAnsi="Calibri" w:cs="Calibri"/>
          <w:i/>
          <w:sz w:val="22"/>
          <w:szCs w:val="22"/>
        </w:rPr>
        <w:t xml:space="preserve"> </w:t>
      </w:r>
      <w:r w:rsidR="00336A0D" w:rsidRPr="004617FC">
        <w:rPr>
          <w:rFonts w:ascii="Calibri" w:hAnsi="Calibri" w:cs="Calibri"/>
          <w:sz w:val="22"/>
          <w:szCs w:val="22"/>
        </w:rPr>
        <w:t xml:space="preserve">s názvem </w:t>
      </w:r>
      <w:r w:rsidR="00526571" w:rsidRPr="00526571">
        <w:rPr>
          <w:rFonts w:ascii="Calibri" w:hAnsi="Calibri" w:cs="Arial"/>
          <w:b/>
          <w:bCs/>
          <w:sz w:val="22"/>
          <w:szCs w:val="22"/>
        </w:rPr>
        <w:t>Léčivý přípravek ATC skupiny J01DH02 s účinnou látkou MEROPENEM</w:t>
      </w:r>
      <w:r w:rsidR="00BC7C6D">
        <w:rPr>
          <w:rFonts w:ascii="Calibri" w:hAnsi="Calibri" w:cs="Arial"/>
          <w:b/>
          <w:bCs/>
          <w:sz w:val="22"/>
          <w:szCs w:val="22"/>
        </w:rPr>
        <w:t xml:space="preserve">, část </w:t>
      </w:r>
      <w:r w:rsidR="00BC7C6D" w:rsidRPr="00526571">
        <w:rPr>
          <w:rFonts w:ascii="Calibri" w:hAnsi="Calibri" w:cs="Arial"/>
          <w:b/>
          <w:bCs/>
          <w:sz w:val="22"/>
          <w:szCs w:val="22"/>
          <w:highlight w:val="yellow"/>
        </w:rPr>
        <w:t>………</w:t>
      </w:r>
      <w:r w:rsidR="00BC7C6D">
        <w:rPr>
          <w:rFonts w:ascii="Calibri" w:hAnsi="Calibri" w:cs="Arial"/>
          <w:b/>
          <w:bCs/>
          <w:sz w:val="22"/>
          <w:szCs w:val="22"/>
        </w:rPr>
        <w:t xml:space="preserve">, nazvanou </w:t>
      </w:r>
      <w:r w:rsidR="00BC7C6D" w:rsidRPr="00526571">
        <w:rPr>
          <w:rFonts w:ascii="Calibri" w:hAnsi="Calibri" w:cs="Arial"/>
          <w:b/>
          <w:bCs/>
          <w:sz w:val="22"/>
          <w:szCs w:val="22"/>
          <w:highlight w:val="yellow"/>
        </w:rPr>
        <w:t>…………………</w:t>
      </w:r>
      <w:r w:rsidR="00526571" w:rsidRPr="00526571">
        <w:rPr>
          <w:rFonts w:ascii="Calibri" w:hAnsi="Calibri" w:cs="Arial"/>
          <w:b/>
          <w:bCs/>
          <w:sz w:val="22"/>
          <w:szCs w:val="22"/>
          <w:highlight w:val="yellow"/>
        </w:rPr>
        <w:t>……….</w:t>
      </w:r>
      <w:r w:rsidR="00916F07" w:rsidRPr="00916F07">
        <w:rPr>
          <w:rFonts w:ascii="Calibri" w:hAnsi="Calibri" w:cs="Calibri"/>
          <w:b/>
          <w:bCs/>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51FB9E9" w14:textId="17E7AADC" w:rsidR="00B50C12" w:rsidRPr="003A7F23" w:rsidRDefault="0024457F" w:rsidP="003A7F23">
      <w:pPr>
        <w:autoSpaceDE w:val="0"/>
        <w:autoSpaceDN w:val="0"/>
        <w:adjustRightInd w:val="0"/>
        <w:ind w:left="709" w:hanging="709"/>
        <w:jc w:val="both"/>
        <w:rPr>
          <w:rFonts w:ascii="Calibri" w:hAnsi="Calibri" w:cs="Calibri"/>
          <w:b/>
          <w:bCs/>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884473">
        <w:rPr>
          <w:rFonts w:ascii="Calibri" w:hAnsi="Calibri" w:cs="Calibri"/>
          <w:b/>
          <w:bCs/>
          <w:sz w:val="22"/>
          <w:szCs w:val="22"/>
        </w:rPr>
        <w:t>l</w:t>
      </w:r>
      <w:r w:rsidR="002D4C2F" w:rsidRPr="002D4C2F">
        <w:rPr>
          <w:rFonts w:ascii="Calibri" w:hAnsi="Calibri" w:cs="Calibri"/>
          <w:b/>
          <w:bCs/>
          <w:sz w:val="22"/>
          <w:szCs w:val="22"/>
        </w:rPr>
        <w:t xml:space="preserve">éčivý přípravek </w:t>
      </w:r>
      <w:r w:rsidR="0054504B">
        <w:rPr>
          <w:rFonts w:ascii="Calibri" w:hAnsi="Calibri" w:cs="Calibri"/>
          <w:b/>
          <w:bCs/>
          <w:sz w:val="22"/>
          <w:szCs w:val="22"/>
        </w:rPr>
        <w:t xml:space="preserve">ATC skupiny </w:t>
      </w:r>
      <w:r w:rsidR="00BC7C6D">
        <w:rPr>
          <w:rFonts w:ascii="Calibri" w:hAnsi="Calibri" w:cs="Calibri"/>
          <w:b/>
          <w:bCs/>
          <w:sz w:val="22"/>
          <w:szCs w:val="22"/>
        </w:rPr>
        <w:t xml:space="preserve">J01DH02 </w:t>
      </w:r>
      <w:r w:rsidR="002D4C2F" w:rsidRPr="002D4C2F">
        <w:rPr>
          <w:rFonts w:ascii="Calibri" w:hAnsi="Calibri" w:cs="Calibri"/>
          <w:b/>
          <w:bCs/>
          <w:sz w:val="22"/>
          <w:szCs w:val="22"/>
        </w:rPr>
        <w:t xml:space="preserve">s účinnou látkou </w:t>
      </w:r>
      <w:r w:rsidR="00BC7C6D">
        <w:rPr>
          <w:rFonts w:ascii="Calibri" w:hAnsi="Calibri" w:cs="Calibri"/>
          <w:b/>
          <w:bCs/>
          <w:sz w:val="22"/>
          <w:szCs w:val="22"/>
        </w:rPr>
        <w:t>MEROPENEM</w:t>
      </w:r>
      <w:r w:rsidR="00E80C6E" w:rsidRPr="00E80C6E">
        <w:rPr>
          <w:rFonts w:ascii="Calibri" w:hAnsi="Calibri" w:cs="Calibri"/>
          <w:b/>
          <w:bCs/>
          <w:sz w:val="22"/>
          <w:szCs w:val="22"/>
        </w:rPr>
        <w:t xml:space="preserve"> </w:t>
      </w:r>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945F2F" w:rsidRPr="00945F2F">
        <w:rPr>
          <w:rFonts w:ascii="Calibri" w:hAnsi="Calibri" w:cs="Calibri"/>
          <w:sz w:val="22"/>
          <w:szCs w:val="22"/>
        </w:rPr>
        <w:t>dle zákona č. 378/2007 Sb., o léčivech a o změnách některých souvisejících zákonů, v platném znění</w:t>
      </w:r>
      <w:r w:rsidR="00B50C12" w:rsidRPr="004617FC">
        <w:rPr>
          <w:rFonts w:ascii="Calibri" w:hAnsi="Calibri" w:cs="Calibri"/>
          <w:sz w:val="22"/>
          <w:szCs w:val="22"/>
        </w:rPr>
        <w:t>. Přesná specifikace zboží je uvedena 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3E1CA71F" w14:textId="2451A7A9" w:rsidR="0024457F" w:rsidRPr="004617FC" w:rsidRDefault="0024457F" w:rsidP="00CF2196">
      <w:pPr>
        <w:ind w:left="709" w:hanging="709"/>
        <w:jc w:val="both"/>
        <w:rPr>
          <w:rFonts w:ascii="Calibri" w:hAnsi="Calibri" w:cs="Calibri"/>
          <w:sz w:val="22"/>
          <w:szCs w:val="22"/>
        </w:rPr>
      </w:pPr>
      <w:r w:rsidRPr="004617FC">
        <w:rPr>
          <w:rFonts w:ascii="Calibri" w:hAnsi="Calibri" w:cs="Calibri"/>
          <w:b/>
          <w:sz w:val="22"/>
          <w:szCs w:val="22"/>
        </w:rPr>
        <w:t>1.3</w:t>
      </w:r>
      <w:r w:rsidR="0041752E" w:rsidRPr="004617FC">
        <w:rPr>
          <w:rFonts w:ascii="Calibri" w:hAnsi="Calibri" w:cs="Calibri"/>
          <w:sz w:val="22"/>
          <w:szCs w:val="22"/>
        </w:rPr>
        <w:tab/>
        <w:t>Zboží bude prodávajícímu dodáno v</w:t>
      </w:r>
      <w:r w:rsidR="00015F6D">
        <w:rPr>
          <w:rFonts w:ascii="Calibri" w:hAnsi="Calibri" w:cs="Calibri"/>
          <w:sz w:val="22"/>
          <w:szCs w:val="22"/>
        </w:rPr>
        <w:t> </w:t>
      </w:r>
      <w:r w:rsidR="0041752E" w:rsidRPr="004617FC">
        <w:rPr>
          <w:rFonts w:ascii="Calibri" w:hAnsi="Calibri" w:cs="Calibri"/>
          <w:sz w:val="22"/>
          <w:szCs w:val="22"/>
        </w:rPr>
        <w:t>originálních</w:t>
      </w:r>
      <w:r w:rsidR="00015F6D">
        <w:rPr>
          <w:rFonts w:ascii="Calibri" w:hAnsi="Calibri" w:cs="Calibri"/>
          <w:sz w:val="22"/>
          <w:szCs w:val="22"/>
        </w:rPr>
        <w:t>,</w:t>
      </w:r>
      <w:r w:rsidR="0041752E" w:rsidRPr="004617FC">
        <w:rPr>
          <w:rFonts w:ascii="Calibri" w:hAnsi="Calibri" w:cs="Calibri"/>
          <w:sz w:val="22"/>
          <w:szCs w:val="22"/>
        </w:rPr>
        <w:t xml:space="preserve"> neporušených obalech.</w:t>
      </w:r>
    </w:p>
    <w:p w14:paraId="6C442C7F" w14:textId="4FE6D464" w:rsidR="0041752E" w:rsidRPr="004617FC" w:rsidRDefault="0041752E" w:rsidP="00CF2196">
      <w:pPr>
        <w:ind w:left="709" w:hanging="709"/>
        <w:jc w:val="both"/>
        <w:rPr>
          <w:rFonts w:ascii="Calibri" w:hAnsi="Calibri" w:cs="Calibri"/>
          <w:sz w:val="22"/>
          <w:szCs w:val="22"/>
        </w:rPr>
      </w:pPr>
      <w:r w:rsidRPr="004617FC">
        <w:rPr>
          <w:rFonts w:ascii="Calibri" w:hAnsi="Calibri" w:cs="Calibri"/>
          <w:b/>
          <w:sz w:val="22"/>
          <w:szCs w:val="22"/>
        </w:rPr>
        <w:t>1.4</w:t>
      </w:r>
      <w:r w:rsidRPr="004617FC">
        <w:rPr>
          <w:rFonts w:ascii="Calibri" w:hAnsi="Calibri" w:cs="Calibri"/>
          <w:b/>
          <w:sz w:val="22"/>
          <w:szCs w:val="22"/>
        </w:rPr>
        <w:tab/>
      </w:r>
      <w:r w:rsidRPr="004617FC">
        <w:rPr>
          <w:rFonts w:ascii="Calibri" w:hAnsi="Calibri" w:cs="Calibri"/>
          <w:sz w:val="22"/>
          <w:szCs w:val="22"/>
        </w:rPr>
        <w:t>Prodávající je povinen dodat kupujícímu nové zboží, tj. nepoužité, nepoškozené, odpovídající platným technickým, bezpečnostním a hygienickým normám a předpisům</w:t>
      </w:r>
      <w:r w:rsidR="00BA12C2" w:rsidRPr="004617FC">
        <w:rPr>
          <w:rFonts w:ascii="Calibri" w:hAnsi="Calibri" w:cs="Calibri"/>
          <w:sz w:val="22"/>
          <w:szCs w:val="22"/>
        </w:rPr>
        <w:t>,</w:t>
      </w:r>
      <w:r w:rsidR="004D2D9D" w:rsidRPr="004617FC">
        <w:rPr>
          <w:rFonts w:ascii="Calibri" w:hAnsi="Calibri" w:cs="Calibri"/>
          <w:sz w:val="22"/>
          <w:szCs w:val="22"/>
        </w:rPr>
        <w:t xml:space="preserve"> zejména zákonu </w:t>
      </w:r>
      <w:r w:rsidR="00A47F7F" w:rsidRPr="004617FC">
        <w:rPr>
          <w:rFonts w:ascii="Calibri" w:hAnsi="Calibri" w:cs="Calibri"/>
          <w:sz w:val="22"/>
          <w:szCs w:val="22"/>
        </w:rPr>
        <w:t xml:space="preserve">č. </w:t>
      </w:r>
      <w:r w:rsidR="004D2D9D" w:rsidRPr="004617FC">
        <w:rPr>
          <w:rFonts w:ascii="Calibri" w:hAnsi="Calibri" w:cs="Calibri"/>
          <w:sz w:val="22"/>
          <w:szCs w:val="22"/>
        </w:rPr>
        <w:t>378/2007 Sb.</w:t>
      </w:r>
      <w:r w:rsidR="006F788D">
        <w:rPr>
          <w:rFonts w:ascii="Calibri" w:hAnsi="Calibri" w:cs="Calibri"/>
          <w:sz w:val="22"/>
          <w:szCs w:val="22"/>
        </w:rPr>
        <w:t>,</w:t>
      </w:r>
      <w:r w:rsidR="004D2D9D" w:rsidRPr="004617FC">
        <w:rPr>
          <w:rFonts w:ascii="Calibri" w:hAnsi="Calibri" w:cs="Calibri"/>
          <w:sz w:val="22"/>
          <w:szCs w:val="22"/>
        </w:rPr>
        <w:t xml:space="preserve"> o léčivech a o změnách některých souvisejících zákonů, v</w:t>
      </w:r>
      <w:r w:rsidR="0022356A">
        <w:rPr>
          <w:rFonts w:ascii="Calibri" w:hAnsi="Calibri" w:cs="Calibri"/>
          <w:sz w:val="22"/>
          <w:szCs w:val="22"/>
        </w:rPr>
        <w:t xml:space="preserve">e </w:t>
      </w:r>
      <w:r w:rsidR="004D2D9D" w:rsidRPr="004617FC">
        <w:rPr>
          <w:rFonts w:ascii="Calibri" w:hAnsi="Calibri" w:cs="Calibri"/>
          <w:sz w:val="22"/>
          <w:szCs w:val="22"/>
        </w:rPr>
        <w:t>znění</w:t>
      </w:r>
      <w:r w:rsidR="00A47F7F" w:rsidRPr="004617FC">
        <w:rPr>
          <w:rFonts w:ascii="Calibri" w:hAnsi="Calibri" w:cs="Calibri"/>
          <w:sz w:val="22"/>
          <w:szCs w:val="22"/>
        </w:rPr>
        <w:t xml:space="preserve"> </w:t>
      </w:r>
      <w:r w:rsidR="0022356A">
        <w:rPr>
          <w:rFonts w:ascii="Calibri" w:hAnsi="Calibri" w:cs="Calibri"/>
          <w:sz w:val="22"/>
          <w:szCs w:val="22"/>
        </w:rPr>
        <w:t xml:space="preserve">pozdějších předpisů </w:t>
      </w:r>
      <w:r w:rsidR="00A47F7F" w:rsidRPr="004617FC">
        <w:rPr>
          <w:rFonts w:ascii="Calibri" w:hAnsi="Calibri" w:cs="Calibri"/>
          <w:sz w:val="22"/>
          <w:szCs w:val="22"/>
        </w:rPr>
        <w:t>a v kvalitě registrované Státním ústavem pro kontrolu léčiv, Evropskou agenturou pro léčivé přípravky.</w:t>
      </w:r>
      <w:r w:rsidRPr="004617FC">
        <w:rPr>
          <w:rFonts w:ascii="Calibri" w:hAnsi="Calibri" w:cs="Calibr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0EE8EE0B" w:rsidR="00296D0F" w:rsidRPr="004617FC" w:rsidRDefault="00B50C12" w:rsidP="00CF2196">
      <w:pPr>
        <w:ind w:left="709" w:hanging="709"/>
        <w:jc w:val="both"/>
        <w:rPr>
          <w:rFonts w:ascii="Calibri" w:hAnsi="Calibri" w:cs="Calibri"/>
          <w:sz w:val="22"/>
          <w:szCs w:val="22"/>
        </w:rPr>
      </w:pPr>
      <w:r w:rsidRPr="004617FC">
        <w:rPr>
          <w:rFonts w:ascii="Calibri" w:hAnsi="Calibri" w:cs="Calibri"/>
          <w:b/>
          <w:sz w:val="22"/>
          <w:szCs w:val="22"/>
        </w:rPr>
        <w:t>1.5</w:t>
      </w:r>
      <w:r w:rsidRPr="004617FC">
        <w:rPr>
          <w:rFonts w:ascii="Calibri" w:hAnsi="Calibri" w:cs="Calibri"/>
          <w:b/>
          <w:sz w:val="22"/>
          <w:szCs w:val="22"/>
        </w:rPr>
        <w:tab/>
      </w:r>
      <w:r w:rsidRPr="004617FC">
        <w:rPr>
          <w:rFonts w:ascii="Calibri" w:hAnsi="Calibri" w:cs="Calibri"/>
          <w:sz w:val="22"/>
          <w:szCs w:val="22"/>
        </w:rPr>
        <w:t xml:space="preserve">Účelem této smlouvy je zabezpečení průběžných dodávek </w:t>
      </w:r>
      <w:r w:rsidR="00945F2F">
        <w:rPr>
          <w:rFonts w:ascii="Calibri" w:hAnsi="Calibri" w:cs="Calibri"/>
          <w:sz w:val="22"/>
          <w:szCs w:val="22"/>
        </w:rPr>
        <w:t>léčivých přípravků</w:t>
      </w:r>
      <w:r w:rsidRPr="004617FC">
        <w:rPr>
          <w:rFonts w:ascii="Calibri" w:hAnsi="Calibri" w:cs="Calibri"/>
          <w:sz w:val="22"/>
          <w:szCs w:val="22"/>
        </w:rPr>
        <w:t xml:space="preserve"> k zajištění řádného provozu kupujícího, pro nějž jsou tyto dodávky léčiva nezbytné pro zajištění poskytování zdravotních služeb.</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21875D2D"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0" w:name="_Hlk109636875"/>
      <w:r w:rsidR="00E70C67" w:rsidRPr="0030471B">
        <w:rPr>
          <w:rFonts w:ascii="Calibri" w:hAnsi="Calibri" w:cs="Calibri"/>
          <w:sz w:val="22"/>
          <w:szCs w:val="22"/>
        </w:rPr>
        <w:t>na základě dílčích objednávek vystavených kupujícím,</w:t>
      </w:r>
      <w:bookmarkEnd w:id="0"/>
      <w:r w:rsidR="00E70C67" w:rsidRPr="00E70C67">
        <w:rPr>
          <w:rFonts w:ascii="Calibri" w:hAnsi="Calibri" w:cs="Calibri"/>
          <w:sz w:val="22"/>
          <w:szCs w:val="22"/>
        </w:rPr>
        <w:t xml:space="preserve"> </w:t>
      </w:r>
      <w:r w:rsidR="00A47F7F" w:rsidRPr="004617FC">
        <w:rPr>
          <w:rFonts w:ascii="Calibri" w:hAnsi="Calibri" w:cs="Calibri"/>
          <w:sz w:val="22"/>
          <w:szCs w:val="22"/>
        </w:rPr>
        <w:t xml:space="preserve">a to </w:t>
      </w:r>
      <w:r w:rsidR="00372823" w:rsidRPr="004617FC">
        <w:rPr>
          <w:rFonts w:ascii="Calibri" w:hAnsi="Calibri" w:cs="Calibri"/>
          <w:sz w:val="22"/>
          <w:szCs w:val="22"/>
        </w:rPr>
        <w:t xml:space="preserve">po dobu </w:t>
      </w:r>
      <w:r w:rsidR="00690D0E">
        <w:rPr>
          <w:rFonts w:ascii="Calibri" w:hAnsi="Calibri" w:cs="Calibri"/>
          <w:sz w:val="22"/>
          <w:szCs w:val="22"/>
        </w:rPr>
        <w:t xml:space="preserve">dvou let </w:t>
      </w:r>
      <w:r w:rsidR="004B22CD" w:rsidRPr="004617FC">
        <w:rPr>
          <w:rFonts w:ascii="Calibri" w:hAnsi="Calibri" w:cs="Calibri"/>
          <w:sz w:val="22"/>
          <w:szCs w:val="22"/>
        </w:rPr>
        <w:t xml:space="preserve">od </w:t>
      </w:r>
      <w:r w:rsidR="00CD171D" w:rsidRPr="004617FC">
        <w:rPr>
          <w:rFonts w:ascii="Calibri" w:hAnsi="Calibri" w:cs="Calibri"/>
          <w:sz w:val="22"/>
          <w:szCs w:val="22"/>
        </w:rPr>
        <w:t>nabytí účinnosti této smlouvy.</w:t>
      </w:r>
      <w:r w:rsidR="00015F6D">
        <w:rPr>
          <w:rFonts w:ascii="Calibri" w:hAnsi="Calibri" w:cs="Calibri"/>
          <w:sz w:val="22"/>
          <w:szCs w:val="22"/>
        </w:rPr>
        <w:t xml:space="preserve"> </w:t>
      </w:r>
    </w:p>
    <w:p w14:paraId="2570548B" w14:textId="2E034D27"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r w:rsidR="00A642E3">
        <w:rPr>
          <w:rFonts w:ascii="Calibri" w:hAnsi="Calibri" w:cs="Calibri"/>
          <w:b/>
          <w:bCs/>
          <w:sz w:val="22"/>
          <w:szCs w:val="22"/>
        </w:rPr>
        <w:t>, pokud se smluvní strany nedohodnou jinak</w:t>
      </w:r>
      <w:r w:rsidR="00986E63" w:rsidRPr="005E552F">
        <w:rPr>
          <w:rFonts w:ascii="Calibri" w:hAnsi="Calibri" w:cs="Calibri"/>
          <w:b/>
          <w:bCs/>
          <w:sz w:val="22"/>
          <w:szCs w:val="22"/>
        </w:rPr>
        <w:t>.</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E75011A"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p>
    <w:p w14:paraId="60436662" w14:textId="65173CB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388AB831" w14:textId="0C4A4F0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roofErr w:type="gramStart"/>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766AAC45" w14:textId="74EAA80E"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4C35E06D" w14:textId="41C020D4"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r w:rsidR="007D44FA" w:rsidRPr="007D44FA">
        <w:rPr>
          <w:rFonts w:cs="Calibri"/>
          <w:i/>
          <w:iCs/>
        </w:rPr>
        <w:t>(doplní dodavatel)</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lastRenderedPageBreak/>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34BA48EA" w14:textId="7B127C30" w:rsidR="002137F3"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 xml:space="preserve">Nedodrží-li prodávající lhůtu stanovenou pro dodání zboží dle článku 2.3 smlouvy z důvodu stahování zboží (tj. příslušného léčivého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léčivého přípravku na trh na SÚKL), nevznikne kupujícímu v těchto případech nárok na úhradu smluvní pokuty dle článku 9.2 smlouvy. </w:t>
      </w:r>
      <w:r w:rsidR="00C33B49" w:rsidRPr="00C33B49">
        <w:rPr>
          <w:rFonts w:ascii="Calibri" w:hAnsi="Calibri" w:cs="Calibri"/>
          <w:color w:val="EE0000"/>
          <w:sz w:val="22"/>
          <w:szCs w:val="22"/>
        </w:rPr>
        <w:t>Prodávající v takovém případě není povinen dle čl. 2.4 uhradit kupujícímu rozdíl mezi kupní cenou a cenou uhrazenou za nákup na volném trhu.</w:t>
      </w:r>
      <w:r w:rsidR="00C33B49" w:rsidRPr="00C33B49">
        <w:rPr>
          <w:rFonts w:ascii="Calibri" w:hAnsi="Calibri" w:cs="Calibri"/>
          <w:color w:val="EE0000"/>
          <w:sz w:val="22"/>
          <w:szCs w:val="22"/>
        </w:rPr>
        <w:t xml:space="preserve"> </w:t>
      </w:r>
      <w:proofErr w:type="gramStart"/>
      <w:r w:rsidR="003320BF" w:rsidRPr="003320BF">
        <w:rPr>
          <w:rFonts w:ascii="Calibri" w:hAnsi="Calibri" w:cs="Calibri"/>
          <w:sz w:val="22"/>
          <w:szCs w:val="22"/>
        </w:rPr>
        <w:t>Prodávající</w:t>
      </w:r>
      <w:proofErr w:type="gramEnd"/>
      <w:r w:rsidR="003320BF" w:rsidRPr="003320BF">
        <w:rPr>
          <w:rFonts w:ascii="Calibri" w:hAnsi="Calibri" w:cs="Calibri"/>
          <w:sz w:val="22"/>
          <w:szCs w:val="22"/>
        </w:rPr>
        <w:t xml:space="preserve"> je povinen doložit kupujícímu podklady 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C33B49">
        <w:rPr>
          <w:rFonts w:ascii="Calibri" w:hAnsi="Calibri" w:cs="Calibri"/>
          <w:sz w:val="22"/>
          <w:szCs w:val="22"/>
        </w:rPr>
        <w:t xml:space="preserve"> </w:t>
      </w:r>
      <w:r w:rsidR="00C33B49" w:rsidRPr="00D61A33">
        <w:rPr>
          <w:rFonts w:ascii="Calibri" w:hAnsi="Calibri" w:cs="Calibri"/>
          <w:color w:val="FF0000"/>
          <w:sz w:val="22"/>
          <w:szCs w:val="22"/>
        </w:rPr>
        <w:t xml:space="preserve">a prodávající je povinen </w:t>
      </w:r>
      <w:r w:rsidR="00C33B49">
        <w:rPr>
          <w:rFonts w:ascii="Calibri" w:hAnsi="Calibri" w:cs="Calibri"/>
          <w:color w:val="FF0000"/>
          <w:sz w:val="22"/>
          <w:szCs w:val="22"/>
        </w:rPr>
        <w:t xml:space="preserve">dle čl. 2.4 </w:t>
      </w:r>
      <w:r w:rsidR="00C33B49" w:rsidRPr="00D61A33">
        <w:rPr>
          <w:rFonts w:ascii="Calibri" w:hAnsi="Calibri" w:cs="Calibri"/>
          <w:color w:val="FF0000"/>
          <w:sz w:val="22"/>
          <w:szCs w:val="22"/>
        </w:rPr>
        <w:t>uhradit kupujícímu rozdíl mezi kupní cenou a cenou uhrazenou za nákup na volném trhu</w:t>
      </w:r>
      <w:r w:rsidR="003320BF" w:rsidRPr="003320BF">
        <w:rPr>
          <w:rFonts w:ascii="Calibri" w:hAnsi="Calibri" w:cs="Calibri"/>
          <w:sz w:val="22"/>
          <w:szCs w:val="22"/>
        </w:rPr>
        <w:t>.</w:t>
      </w:r>
    </w:p>
    <w:p w14:paraId="5E76F3E6" w14:textId="77777777" w:rsidR="0024457F" w:rsidRPr="004617FC" w:rsidRDefault="0024457F" w:rsidP="0024457F">
      <w:pPr>
        <w:ind w:left="705" w:hanging="705"/>
        <w:rPr>
          <w:rFonts w:ascii="Calibri" w:hAnsi="Calibri" w:cs="Calibri"/>
          <w:sz w:val="22"/>
          <w:szCs w:val="22"/>
        </w:rPr>
      </w:pP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69265677"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690D0E" w:rsidRPr="002473E4">
        <w:rPr>
          <w:rFonts w:ascii="Calibri" w:hAnsi="Calibri" w:cs="Calibri"/>
          <w:b/>
          <w:bCs/>
          <w:sz w:val="22"/>
          <w:szCs w:val="22"/>
        </w:rPr>
        <w:t>2 let (24</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lastRenderedPageBreak/>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46AFBAD9" w14:textId="0C23B00A" w:rsidR="00A6648D" w:rsidRDefault="00A6648D" w:rsidP="00D67A3D">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7645AE8D" w14:textId="77777777" w:rsidR="003320BF" w:rsidRPr="004617FC" w:rsidRDefault="003320BF" w:rsidP="00D67A3D">
      <w:pPr>
        <w:ind w:left="709" w:hanging="709"/>
        <w:jc w:val="both"/>
        <w:rPr>
          <w:rFonts w:ascii="Calibri" w:hAnsi="Calibri" w:cs="Calibri"/>
          <w:sz w:val="22"/>
          <w:szCs w:val="22"/>
        </w:rPr>
      </w:pPr>
    </w:p>
    <w:p w14:paraId="11536C9A" w14:textId="1AF48D3A" w:rsidR="00A6648D" w:rsidRPr="004617FC" w:rsidRDefault="00891F4B" w:rsidP="00891F4B">
      <w:pPr>
        <w:pStyle w:val="Zkladntextodsazen2"/>
        <w:tabs>
          <w:tab w:val="left" w:pos="709"/>
        </w:tabs>
        <w:ind w:left="708" w:hanging="708"/>
      </w:pPr>
      <w:r w:rsidRPr="00891F4B">
        <w:rPr>
          <w:b/>
          <w:bCs/>
        </w:rPr>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3846110B" w14:textId="25EDFC8A"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2B158ADE" w14:textId="6D2D870E" w:rsidR="00031EBF" w:rsidRPr="004617FC" w:rsidRDefault="00031EBF"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9</w:t>
      </w:r>
      <w:r w:rsidRPr="004617FC">
        <w:rPr>
          <w:rFonts w:ascii="Calibri" w:hAnsi="Calibri" w:cs="Calibri"/>
          <w:b/>
          <w:sz w:val="22"/>
          <w:szCs w:val="22"/>
        </w:rPr>
        <w:tab/>
      </w:r>
      <w:r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665F236A"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záruční dobu –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w:t>
      </w:r>
      <w:r w:rsidR="00441166" w:rsidRPr="004617FC">
        <w:rPr>
          <w:rFonts w:ascii="Calibri" w:hAnsi="Calibri" w:cs="Calibri"/>
          <w:sz w:val="22"/>
          <w:szCs w:val="22"/>
        </w:rPr>
        <w:lastRenderedPageBreak/>
        <w:t xml:space="preserve">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1"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1"/>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lastRenderedPageBreak/>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zboží bude opakovaně (minimálně 3x) trpět vadami, které jej budou činit nepoužitelnými vzhledem k účelu, ke kterému má sloužit</w:t>
      </w:r>
      <w:r w:rsidR="00FA0DC6">
        <w:rPr>
          <w:rFonts w:ascii="Calibri" w:hAnsi="Calibri" w:cs="Calibri"/>
          <w:szCs w:val="22"/>
        </w:rPr>
        <w:t>;</w:t>
      </w:r>
    </w:p>
    <w:p w14:paraId="417EC3CC" w14:textId="77777777" w:rsidR="00441166" w:rsidRPr="00C33B49"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r w:rsidRPr="00630F70">
        <w:rPr>
          <w:rFonts w:asciiTheme="minorHAnsi" w:hAnsiTheme="minorHAnsi" w:cstheme="minorHAnsi"/>
        </w:rPr>
        <w:t xml:space="preserve"> </w:t>
      </w:r>
    </w:p>
    <w:p w14:paraId="018EC3FB" w14:textId="628E22DF" w:rsidR="00C33B49" w:rsidRPr="00C33B49" w:rsidRDefault="00C33B49" w:rsidP="00C33B49">
      <w:pPr>
        <w:tabs>
          <w:tab w:val="left" w:pos="709"/>
        </w:tabs>
        <w:jc w:val="both"/>
        <w:rPr>
          <w:rFonts w:ascii="Calibri" w:hAnsi="Calibri" w:cs="Calibri"/>
          <w:color w:val="EE0000"/>
          <w:szCs w:val="22"/>
        </w:rPr>
      </w:pPr>
      <w:r>
        <w:rPr>
          <w:rFonts w:ascii="Calibri" w:hAnsi="Calibri" w:cs="Calibri"/>
          <w:color w:val="EE0000"/>
          <w:szCs w:val="22"/>
        </w:rPr>
        <w:tab/>
      </w:r>
      <w:r w:rsidRPr="00C33B49">
        <w:rPr>
          <w:rFonts w:ascii="Calibri" w:hAnsi="Calibri" w:cs="Calibri"/>
          <w:color w:val="EE0000"/>
          <w:szCs w:val="22"/>
        </w:rPr>
        <w:t>Prodávající je oprávněn odstoupit od smlouvy pro její podstatné porušení v případě:</w:t>
      </w:r>
    </w:p>
    <w:p w14:paraId="4A1E73F5" w14:textId="5D011753" w:rsidR="00C33B49" w:rsidRPr="00C33B49" w:rsidRDefault="00C33B49" w:rsidP="00C33B49">
      <w:pPr>
        <w:pStyle w:val="Odstavecseseznamem"/>
        <w:numPr>
          <w:ilvl w:val="0"/>
          <w:numId w:val="13"/>
        </w:numPr>
        <w:ind w:hanging="217"/>
        <w:jc w:val="both"/>
        <w:rPr>
          <w:szCs w:val="22"/>
        </w:rPr>
      </w:pPr>
      <w:r w:rsidRPr="00C33B49">
        <w:rPr>
          <w:rFonts w:ascii="Calibri" w:hAnsi="Calibri" w:cs="Calibri"/>
          <w:color w:val="EE0000"/>
          <w:szCs w:val="22"/>
        </w:rPr>
        <w:t>neuhrazení kupní ceny dílčí objednávky kupujícím po druhé výzvě prodávajícího k uhrazení dlužné částky, 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2AE4DC7C"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 xml:space="preserve">je </w:t>
      </w:r>
      <w:r w:rsidR="00C33B49" w:rsidRPr="00C33B49">
        <w:rPr>
          <w:rFonts w:ascii="Calibri" w:hAnsi="Calibri" w:cs="Calibri"/>
          <w:b/>
          <w:bCs/>
          <w:iCs/>
          <w:color w:val="EE0000"/>
          <w:sz w:val="22"/>
          <w:szCs w:val="22"/>
        </w:rPr>
        <w:t>2</w:t>
      </w:r>
      <w:r w:rsidR="00C33B49">
        <w:rPr>
          <w:rFonts w:ascii="Calibri" w:hAnsi="Calibri" w:cs="Calibri"/>
          <w:iCs/>
          <w:sz w:val="22"/>
          <w:szCs w:val="22"/>
        </w:rPr>
        <w:t xml:space="preserve"> </w:t>
      </w:r>
      <w:r w:rsidR="00F77E40" w:rsidRPr="00C33B49">
        <w:rPr>
          <w:rFonts w:ascii="Calibri" w:hAnsi="Calibri" w:cs="Calibri"/>
          <w:iCs/>
          <w:strike/>
          <w:sz w:val="22"/>
          <w:szCs w:val="22"/>
          <w:highlight w:val="yellow"/>
        </w:rPr>
        <w:t>3</w:t>
      </w:r>
      <w:r w:rsidR="00452385" w:rsidRPr="004B175D">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7A0236A1"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w:t>
      </w:r>
      <w:r w:rsidR="0024457F" w:rsidRPr="004617FC">
        <w:rPr>
          <w:rFonts w:ascii="Calibri" w:hAnsi="Calibri" w:cs="Calibri"/>
          <w:sz w:val="22"/>
          <w:szCs w:val="22"/>
        </w:rPr>
        <w:lastRenderedPageBreak/>
        <w:t>zpřístupnění či zveřejnění celé této smlouvy, jakož i všech úkonů a okolností s touto smlouvou přímo souvisejících, pokud tím nedojde k porušení zákonem stanovené povinnosti mlčenlivosti.</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01CDF0A9"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F77E40" w:rsidRPr="002473E4">
        <w:rPr>
          <w:rFonts w:ascii="Calibri" w:hAnsi="Calibri" w:cs="Calibri"/>
          <w:b/>
          <w:iCs/>
          <w:sz w:val="22"/>
          <w:szCs w:val="22"/>
        </w:rPr>
        <w:t>dvou let</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24C1FB9"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3320BF">
      <w:headerReference w:type="default" r:id="rId9"/>
      <w:footerReference w:type="default" r:id="rId10"/>
      <w:pgSz w:w="11906" w:h="16838"/>
      <w:pgMar w:top="1418" w:right="1134" w:bottom="1077"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2"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3"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18"/>
  </w:num>
  <w:num w:numId="4" w16cid:durableId="76636670">
    <w:abstractNumId w:val="19"/>
  </w:num>
  <w:num w:numId="5" w16cid:durableId="1457866968">
    <w:abstractNumId w:val="4"/>
  </w:num>
  <w:num w:numId="6" w16cid:durableId="803742262">
    <w:abstractNumId w:val="8"/>
  </w:num>
  <w:num w:numId="7" w16cid:durableId="1218905113">
    <w:abstractNumId w:val="14"/>
  </w:num>
  <w:num w:numId="8" w16cid:durableId="320041747">
    <w:abstractNumId w:val="9"/>
  </w:num>
  <w:num w:numId="9" w16cid:durableId="1660649025">
    <w:abstractNumId w:val="2"/>
  </w:num>
  <w:num w:numId="10" w16cid:durableId="1457329828">
    <w:abstractNumId w:val="16"/>
  </w:num>
  <w:num w:numId="11" w16cid:durableId="1776706686">
    <w:abstractNumId w:val="12"/>
  </w:num>
  <w:num w:numId="12" w16cid:durableId="2019118716">
    <w:abstractNumId w:val="15"/>
  </w:num>
  <w:num w:numId="13" w16cid:durableId="828402494">
    <w:abstractNumId w:val="5"/>
  </w:num>
  <w:num w:numId="14" w16cid:durableId="22286604">
    <w:abstractNumId w:val="6"/>
  </w:num>
  <w:num w:numId="15" w16cid:durableId="1080834311">
    <w:abstractNumId w:val="1"/>
  </w:num>
  <w:num w:numId="16" w16cid:durableId="340787333">
    <w:abstractNumId w:val="17"/>
  </w:num>
  <w:num w:numId="17" w16cid:durableId="1471944152">
    <w:abstractNumId w:val="0"/>
  </w:num>
  <w:num w:numId="18" w16cid:durableId="1365138402">
    <w:abstractNumId w:val="7"/>
  </w:num>
  <w:num w:numId="19" w16cid:durableId="1525900552">
    <w:abstractNumId w:val="3"/>
  </w:num>
  <w:num w:numId="20" w16cid:durableId="1472748462">
    <w:abstractNumId w:val="10"/>
  </w:num>
  <w:num w:numId="21" w16cid:durableId="1117994031">
    <w:abstractNumId w:val="13"/>
  </w:num>
  <w:num w:numId="22" w16cid:durableId="449125865">
    <w:abstractNumId w:val="6"/>
  </w:num>
  <w:num w:numId="23" w16cid:durableId="1210798584">
    <w:abstractNumId w:val="6"/>
  </w:num>
  <w:num w:numId="24" w16cid:durableId="8666791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56E"/>
    <w:rsid w:val="0001191D"/>
    <w:rsid w:val="00013363"/>
    <w:rsid w:val="000153A6"/>
    <w:rsid w:val="00015F6D"/>
    <w:rsid w:val="0002305D"/>
    <w:rsid w:val="00031EBF"/>
    <w:rsid w:val="0003215D"/>
    <w:rsid w:val="0003476A"/>
    <w:rsid w:val="00035495"/>
    <w:rsid w:val="00047C2D"/>
    <w:rsid w:val="00054942"/>
    <w:rsid w:val="0005536E"/>
    <w:rsid w:val="00074CC0"/>
    <w:rsid w:val="00076408"/>
    <w:rsid w:val="00090272"/>
    <w:rsid w:val="00091376"/>
    <w:rsid w:val="00096DC0"/>
    <w:rsid w:val="000A2A80"/>
    <w:rsid w:val="000A327C"/>
    <w:rsid w:val="000B4B4F"/>
    <w:rsid w:val="000B54D9"/>
    <w:rsid w:val="000D64BA"/>
    <w:rsid w:val="000E1819"/>
    <w:rsid w:val="000E1A8F"/>
    <w:rsid w:val="000E1D2F"/>
    <w:rsid w:val="000E2E5A"/>
    <w:rsid w:val="000E5797"/>
    <w:rsid w:val="000F100C"/>
    <w:rsid w:val="00126C75"/>
    <w:rsid w:val="00135413"/>
    <w:rsid w:val="001508E3"/>
    <w:rsid w:val="00167D6F"/>
    <w:rsid w:val="00173F54"/>
    <w:rsid w:val="00186540"/>
    <w:rsid w:val="001923EA"/>
    <w:rsid w:val="00193B38"/>
    <w:rsid w:val="001A4B49"/>
    <w:rsid w:val="001B2D5F"/>
    <w:rsid w:val="001C0CE0"/>
    <w:rsid w:val="001C4C0A"/>
    <w:rsid w:val="001D2DB5"/>
    <w:rsid w:val="001D3017"/>
    <w:rsid w:val="001F1C26"/>
    <w:rsid w:val="001F780C"/>
    <w:rsid w:val="00202FC7"/>
    <w:rsid w:val="0020399D"/>
    <w:rsid w:val="00211171"/>
    <w:rsid w:val="002137F3"/>
    <w:rsid w:val="00214BEF"/>
    <w:rsid w:val="0022356A"/>
    <w:rsid w:val="00227EEC"/>
    <w:rsid w:val="00232B58"/>
    <w:rsid w:val="0024457F"/>
    <w:rsid w:val="00246329"/>
    <w:rsid w:val="002473E4"/>
    <w:rsid w:val="00253009"/>
    <w:rsid w:val="002610E5"/>
    <w:rsid w:val="002773A8"/>
    <w:rsid w:val="00280BF4"/>
    <w:rsid w:val="00292BB6"/>
    <w:rsid w:val="0029689E"/>
    <w:rsid w:val="00296D0F"/>
    <w:rsid w:val="002A13E7"/>
    <w:rsid w:val="002B0BFC"/>
    <w:rsid w:val="002B1D08"/>
    <w:rsid w:val="002B6872"/>
    <w:rsid w:val="002C7B5A"/>
    <w:rsid w:val="002D4C2F"/>
    <w:rsid w:val="002E016F"/>
    <w:rsid w:val="002F6D1B"/>
    <w:rsid w:val="003039ED"/>
    <w:rsid w:val="0030471B"/>
    <w:rsid w:val="00312BAF"/>
    <w:rsid w:val="00315171"/>
    <w:rsid w:val="00323DA3"/>
    <w:rsid w:val="00326A90"/>
    <w:rsid w:val="003320BF"/>
    <w:rsid w:val="00336A0D"/>
    <w:rsid w:val="00343FBE"/>
    <w:rsid w:val="00345638"/>
    <w:rsid w:val="00363B10"/>
    <w:rsid w:val="00366AD5"/>
    <w:rsid w:val="00372823"/>
    <w:rsid w:val="00373B49"/>
    <w:rsid w:val="00380B2C"/>
    <w:rsid w:val="00383D51"/>
    <w:rsid w:val="003873D2"/>
    <w:rsid w:val="00392425"/>
    <w:rsid w:val="00394AA3"/>
    <w:rsid w:val="003A2D4F"/>
    <w:rsid w:val="003A7F23"/>
    <w:rsid w:val="003B339F"/>
    <w:rsid w:val="003B3F63"/>
    <w:rsid w:val="003C68DD"/>
    <w:rsid w:val="003D776B"/>
    <w:rsid w:val="003E5778"/>
    <w:rsid w:val="003E5CB3"/>
    <w:rsid w:val="003E774D"/>
    <w:rsid w:val="00401C9C"/>
    <w:rsid w:val="0040474A"/>
    <w:rsid w:val="0041467B"/>
    <w:rsid w:val="0041752E"/>
    <w:rsid w:val="00433124"/>
    <w:rsid w:val="00435229"/>
    <w:rsid w:val="00441166"/>
    <w:rsid w:val="00451BF0"/>
    <w:rsid w:val="00451D4D"/>
    <w:rsid w:val="00452385"/>
    <w:rsid w:val="004559E2"/>
    <w:rsid w:val="004617FC"/>
    <w:rsid w:val="00467B34"/>
    <w:rsid w:val="00473560"/>
    <w:rsid w:val="00476FD3"/>
    <w:rsid w:val="004913A1"/>
    <w:rsid w:val="00493714"/>
    <w:rsid w:val="00494B00"/>
    <w:rsid w:val="00496559"/>
    <w:rsid w:val="00496A33"/>
    <w:rsid w:val="004A400A"/>
    <w:rsid w:val="004B175D"/>
    <w:rsid w:val="004B22CD"/>
    <w:rsid w:val="004B2BAF"/>
    <w:rsid w:val="004B5104"/>
    <w:rsid w:val="004D2D9D"/>
    <w:rsid w:val="004E30EC"/>
    <w:rsid w:val="004E4153"/>
    <w:rsid w:val="004E7858"/>
    <w:rsid w:val="004F3257"/>
    <w:rsid w:val="00512638"/>
    <w:rsid w:val="00526338"/>
    <w:rsid w:val="00526571"/>
    <w:rsid w:val="00533BE6"/>
    <w:rsid w:val="005370F5"/>
    <w:rsid w:val="00543774"/>
    <w:rsid w:val="0054504B"/>
    <w:rsid w:val="00564109"/>
    <w:rsid w:val="005674B9"/>
    <w:rsid w:val="0058153E"/>
    <w:rsid w:val="005920BC"/>
    <w:rsid w:val="005939C0"/>
    <w:rsid w:val="005A4EDB"/>
    <w:rsid w:val="005A56A6"/>
    <w:rsid w:val="005B26ED"/>
    <w:rsid w:val="005D02F6"/>
    <w:rsid w:val="005E0F36"/>
    <w:rsid w:val="005F38F7"/>
    <w:rsid w:val="00611F02"/>
    <w:rsid w:val="006203D5"/>
    <w:rsid w:val="006220DA"/>
    <w:rsid w:val="00632931"/>
    <w:rsid w:val="00645BB4"/>
    <w:rsid w:val="00663060"/>
    <w:rsid w:val="0067099F"/>
    <w:rsid w:val="00676199"/>
    <w:rsid w:val="00677B3C"/>
    <w:rsid w:val="00682999"/>
    <w:rsid w:val="00690D0E"/>
    <w:rsid w:val="00690EC7"/>
    <w:rsid w:val="0069120F"/>
    <w:rsid w:val="00692B9F"/>
    <w:rsid w:val="006B0EBB"/>
    <w:rsid w:val="006C1A7A"/>
    <w:rsid w:val="006C3A67"/>
    <w:rsid w:val="006C5D32"/>
    <w:rsid w:val="006C7D53"/>
    <w:rsid w:val="006D30DF"/>
    <w:rsid w:val="006D464E"/>
    <w:rsid w:val="006D51AD"/>
    <w:rsid w:val="006D706A"/>
    <w:rsid w:val="006D7BFA"/>
    <w:rsid w:val="006E14A2"/>
    <w:rsid w:val="006E31AC"/>
    <w:rsid w:val="006E32BA"/>
    <w:rsid w:val="006E4771"/>
    <w:rsid w:val="006F788D"/>
    <w:rsid w:val="007247D4"/>
    <w:rsid w:val="00724DD2"/>
    <w:rsid w:val="007460F2"/>
    <w:rsid w:val="00762523"/>
    <w:rsid w:val="00766540"/>
    <w:rsid w:val="00784765"/>
    <w:rsid w:val="00787886"/>
    <w:rsid w:val="007A4A55"/>
    <w:rsid w:val="007B3091"/>
    <w:rsid w:val="007B41BD"/>
    <w:rsid w:val="007B4D89"/>
    <w:rsid w:val="007B7F5F"/>
    <w:rsid w:val="007D44FA"/>
    <w:rsid w:val="007F44DE"/>
    <w:rsid w:val="007F5689"/>
    <w:rsid w:val="007F5FB4"/>
    <w:rsid w:val="00802DD5"/>
    <w:rsid w:val="0080728A"/>
    <w:rsid w:val="00812CA0"/>
    <w:rsid w:val="00820D80"/>
    <w:rsid w:val="00822675"/>
    <w:rsid w:val="00822A40"/>
    <w:rsid w:val="00825F92"/>
    <w:rsid w:val="00826BA0"/>
    <w:rsid w:val="00827C96"/>
    <w:rsid w:val="00834D5A"/>
    <w:rsid w:val="00840BBA"/>
    <w:rsid w:val="0085246A"/>
    <w:rsid w:val="00854496"/>
    <w:rsid w:val="008551B1"/>
    <w:rsid w:val="00855A4C"/>
    <w:rsid w:val="008565EF"/>
    <w:rsid w:val="008637B6"/>
    <w:rsid w:val="008675E1"/>
    <w:rsid w:val="00884473"/>
    <w:rsid w:val="00891F4B"/>
    <w:rsid w:val="008B2EB1"/>
    <w:rsid w:val="008B7448"/>
    <w:rsid w:val="008D30AB"/>
    <w:rsid w:val="008F43DF"/>
    <w:rsid w:val="00901A35"/>
    <w:rsid w:val="00906FEC"/>
    <w:rsid w:val="0090742B"/>
    <w:rsid w:val="00910E99"/>
    <w:rsid w:val="00916435"/>
    <w:rsid w:val="00916F07"/>
    <w:rsid w:val="009306B9"/>
    <w:rsid w:val="00930D3E"/>
    <w:rsid w:val="00937B35"/>
    <w:rsid w:val="00944310"/>
    <w:rsid w:val="00945F2F"/>
    <w:rsid w:val="00953E66"/>
    <w:rsid w:val="0095436A"/>
    <w:rsid w:val="00960ABB"/>
    <w:rsid w:val="00964F33"/>
    <w:rsid w:val="00970218"/>
    <w:rsid w:val="00970697"/>
    <w:rsid w:val="00975A2B"/>
    <w:rsid w:val="00984311"/>
    <w:rsid w:val="00986E63"/>
    <w:rsid w:val="00991E2E"/>
    <w:rsid w:val="009940AA"/>
    <w:rsid w:val="0099587F"/>
    <w:rsid w:val="009978CD"/>
    <w:rsid w:val="00997989"/>
    <w:rsid w:val="009B7599"/>
    <w:rsid w:val="009D46DF"/>
    <w:rsid w:val="009F34A6"/>
    <w:rsid w:val="009F4906"/>
    <w:rsid w:val="009F5531"/>
    <w:rsid w:val="00A04773"/>
    <w:rsid w:val="00A07B7B"/>
    <w:rsid w:val="00A11335"/>
    <w:rsid w:val="00A27AE5"/>
    <w:rsid w:val="00A31487"/>
    <w:rsid w:val="00A35057"/>
    <w:rsid w:val="00A47F7F"/>
    <w:rsid w:val="00A51CD8"/>
    <w:rsid w:val="00A53319"/>
    <w:rsid w:val="00A53956"/>
    <w:rsid w:val="00A559C8"/>
    <w:rsid w:val="00A642E3"/>
    <w:rsid w:val="00A6648D"/>
    <w:rsid w:val="00A67959"/>
    <w:rsid w:val="00A710B6"/>
    <w:rsid w:val="00A83D47"/>
    <w:rsid w:val="00A96A4F"/>
    <w:rsid w:val="00AA5D7B"/>
    <w:rsid w:val="00AA7707"/>
    <w:rsid w:val="00AC1CA0"/>
    <w:rsid w:val="00AD38CB"/>
    <w:rsid w:val="00AE4FC2"/>
    <w:rsid w:val="00AF4E1E"/>
    <w:rsid w:val="00B07760"/>
    <w:rsid w:val="00B27F6E"/>
    <w:rsid w:val="00B33D87"/>
    <w:rsid w:val="00B50C12"/>
    <w:rsid w:val="00B52085"/>
    <w:rsid w:val="00B52E0B"/>
    <w:rsid w:val="00B7377A"/>
    <w:rsid w:val="00B8223A"/>
    <w:rsid w:val="00BA12C2"/>
    <w:rsid w:val="00BA57EC"/>
    <w:rsid w:val="00BB3965"/>
    <w:rsid w:val="00BB6BA8"/>
    <w:rsid w:val="00BC054F"/>
    <w:rsid w:val="00BC7C6D"/>
    <w:rsid w:val="00BD127F"/>
    <w:rsid w:val="00BD15CD"/>
    <w:rsid w:val="00BE4A74"/>
    <w:rsid w:val="00BE64AC"/>
    <w:rsid w:val="00C161A7"/>
    <w:rsid w:val="00C21D94"/>
    <w:rsid w:val="00C33878"/>
    <w:rsid w:val="00C33B49"/>
    <w:rsid w:val="00C3701A"/>
    <w:rsid w:val="00C46220"/>
    <w:rsid w:val="00C466D1"/>
    <w:rsid w:val="00C51832"/>
    <w:rsid w:val="00C5256A"/>
    <w:rsid w:val="00C546CB"/>
    <w:rsid w:val="00C64C60"/>
    <w:rsid w:val="00C77162"/>
    <w:rsid w:val="00C82102"/>
    <w:rsid w:val="00C822F1"/>
    <w:rsid w:val="00C96CA6"/>
    <w:rsid w:val="00CA21CF"/>
    <w:rsid w:val="00CA27B1"/>
    <w:rsid w:val="00CA6E9E"/>
    <w:rsid w:val="00CC4A8C"/>
    <w:rsid w:val="00CD171D"/>
    <w:rsid w:val="00CE0066"/>
    <w:rsid w:val="00CE750D"/>
    <w:rsid w:val="00CE7A24"/>
    <w:rsid w:val="00CF2196"/>
    <w:rsid w:val="00CF64F6"/>
    <w:rsid w:val="00D03C00"/>
    <w:rsid w:val="00D041C7"/>
    <w:rsid w:val="00D07CAD"/>
    <w:rsid w:val="00D24282"/>
    <w:rsid w:val="00D325DC"/>
    <w:rsid w:val="00D332BF"/>
    <w:rsid w:val="00D366B7"/>
    <w:rsid w:val="00D51DFE"/>
    <w:rsid w:val="00D53BCC"/>
    <w:rsid w:val="00D66BCF"/>
    <w:rsid w:val="00D67A3D"/>
    <w:rsid w:val="00D91251"/>
    <w:rsid w:val="00D96513"/>
    <w:rsid w:val="00DD1CE0"/>
    <w:rsid w:val="00DD641C"/>
    <w:rsid w:val="00DD782B"/>
    <w:rsid w:val="00DE3207"/>
    <w:rsid w:val="00DE38CA"/>
    <w:rsid w:val="00E04AA8"/>
    <w:rsid w:val="00E1269F"/>
    <w:rsid w:val="00E14C7C"/>
    <w:rsid w:val="00E16C66"/>
    <w:rsid w:val="00E174BC"/>
    <w:rsid w:val="00E21566"/>
    <w:rsid w:val="00E36031"/>
    <w:rsid w:val="00E37F4D"/>
    <w:rsid w:val="00E4278A"/>
    <w:rsid w:val="00E50C8E"/>
    <w:rsid w:val="00E512B0"/>
    <w:rsid w:val="00E51AB2"/>
    <w:rsid w:val="00E52F12"/>
    <w:rsid w:val="00E70C67"/>
    <w:rsid w:val="00E80C6E"/>
    <w:rsid w:val="00E81ADB"/>
    <w:rsid w:val="00E92325"/>
    <w:rsid w:val="00E94023"/>
    <w:rsid w:val="00EA3E10"/>
    <w:rsid w:val="00EE015C"/>
    <w:rsid w:val="00EE0CB1"/>
    <w:rsid w:val="00EE2C6A"/>
    <w:rsid w:val="00EE36D7"/>
    <w:rsid w:val="00EF3C85"/>
    <w:rsid w:val="00F07C7F"/>
    <w:rsid w:val="00F13DBC"/>
    <w:rsid w:val="00F15831"/>
    <w:rsid w:val="00F17580"/>
    <w:rsid w:val="00F17C12"/>
    <w:rsid w:val="00F255F7"/>
    <w:rsid w:val="00F32A81"/>
    <w:rsid w:val="00F46A56"/>
    <w:rsid w:val="00F62A60"/>
    <w:rsid w:val="00F64A65"/>
    <w:rsid w:val="00F70FF7"/>
    <w:rsid w:val="00F75A16"/>
    <w:rsid w:val="00F77E40"/>
    <w:rsid w:val="00F80786"/>
    <w:rsid w:val="00F84CA9"/>
    <w:rsid w:val="00F84CCE"/>
    <w:rsid w:val="00F966A2"/>
    <w:rsid w:val="00FA0DC6"/>
    <w:rsid w:val="00FB2127"/>
    <w:rsid w:val="00FC29FE"/>
    <w:rsid w:val="00FC5374"/>
    <w:rsid w:val="00FD3C6A"/>
    <w:rsid w:val="00FD4231"/>
    <w:rsid w:val="00FE062E"/>
    <w:rsid w:val="00FE4265"/>
    <w:rsid w:val="00FF1118"/>
    <w:rsid w:val="00FF4B64"/>
    <w:rsid w:val="00FF6772"/>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3337</Words>
  <Characters>19692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11</cp:revision>
  <cp:lastPrinted>2018-05-18T08:11:00Z</cp:lastPrinted>
  <dcterms:created xsi:type="dcterms:W3CDTF">2025-05-04T16:09:00Z</dcterms:created>
  <dcterms:modified xsi:type="dcterms:W3CDTF">2025-06-05T18:46:00Z</dcterms:modified>
</cp:coreProperties>
</file>