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447FB" w:rsidRPr="00B447FB">
        <w:rPr>
          <w:rFonts w:asciiTheme="minorHAnsi" w:hAnsiTheme="minorHAnsi" w:cs="Arial"/>
          <w:b/>
          <w:sz w:val="28"/>
          <w:szCs w:val="28"/>
        </w:rPr>
        <w:t>4</w:t>
      </w:r>
      <w:r w:rsidR="00EA4148" w:rsidRPr="00B447FB">
        <w:rPr>
          <w:rFonts w:asciiTheme="minorHAnsi" w:hAnsiTheme="minorHAnsi" w:cs="Arial"/>
          <w:b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F60C15">
      <w:pPr>
        <w:ind w:left="2124" w:right="-24" w:hanging="21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F60C15">
        <w:rPr>
          <w:rFonts w:asciiTheme="minorHAnsi" w:hAnsiTheme="minorHAnsi" w:cs="Arial"/>
          <w:b/>
        </w:rPr>
        <w:tab/>
      </w:r>
      <w:r w:rsidR="005B2111" w:rsidRPr="005B2111">
        <w:rPr>
          <w:rFonts w:asciiTheme="minorHAnsi" w:hAnsiTheme="minorHAnsi" w:cs="Arial"/>
          <w:b/>
        </w:rPr>
        <w:t>Gymnázium Litomyšl - Modernizace laboratoří přírodovědných předmětů</w:t>
      </w:r>
    </w:p>
    <w:p w:rsidR="00624BBA" w:rsidRPr="00312698" w:rsidRDefault="00624BBA" w:rsidP="00312698">
      <w:pPr>
        <w:pStyle w:val="Default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Pr="00312698" w:rsidRDefault="00A10E9F" w:rsidP="000E7648">
      <w:pPr>
        <w:pStyle w:val="Default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312698">
        <w:rPr>
          <w:rFonts w:asciiTheme="minorHAnsi" w:hAnsiTheme="minorHAnsi" w:cs="Arial"/>
          <w:b/>
        </w:rPr>
        <w:t xml:space="preserve">32, </w:t>
      </w:r>
      <w:r w:rsidR="00312698" w:rsidRPr="00312698">
        <w:rPr>
          <w:rFonts w:asciiTheme="minorHAnsi" w:hAnsiTheme="minorHAnsi" w:cs="Arial"/>
          <w:b/>
        </w:rPr>
        <w:t>Infrastruktura</w:t>
      </w:r>
      <w:r w:rsidR="000E7648" w:rsidRPr="000E7648">
        <w:rPr>
          <w:rFonts w:asciiTheme="minorHAnsi" w:hAnsiTheme="minorHAnsi" w:cs="Arial"/>
          <w:b/>
        </w:rPr>
        <w:t xml:space="preserve"> středních škol a vyšších odborných škol</w:t>
      </w:r>
      <w:r w:rsidR="000E7648" w:rsidRPr="00312698">
        <w:rPr>
          <w:rFonts w:asciiTheme="minorHAnsi" w:hAnsiTheme="minorHAnsi" w:cs="Arial"/>
          <w:b/>
        </w:rPr>
        <w:t xml:space="preserve"> 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1162F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162FF">
        <w:rPr>
          <w:rFonts w:asciiTheme="minorHAnsi" w:hAnsiTheme="minorHAnsi"/>
        </w:rPr>
        <w:t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 w:rsidR="00D97485" w:rsidRPr="0076682F">
        <w:rPr>
          <w:rFonts w:asciiTheme="minorHAnsi" w:hAnsiTheme="minorHAnsi"/>
        </w:rPr>
        <w:t>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 xml:space="preserve">až do </w:t>
      </w:r>
      <w:r w:rsidR="001162FF">
        <w:rPr>
          <w:rFonts w:asciiTheme="minorHAnsi" w:hAnsiTheme="minorHAnsi"/>
        </w:rPr>
        <w:t xml:space="preserve">konce </w:t>
      </w:r>
      <w:r w:rsidR="001779EA">
        <w:rPr>
          <w:rFonts w:asciiTheme="minorHAnsi" w:hAnsiTheme="minorHAnsi"/>
        </w:rPr>
        <w:t>roku 2028</w:t>
      </w:r>
      <w:r w:rsidRPr="0076682F">
        <w:rPr>
          <w:rFonts w:asciiTheme="minorHAnsi" w:hAnsiTheme="minorHAnsi"/>
        </w:rPr>
        <w:t>.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F30D23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 xml:space="preserve">dalších dokumentů dostupných na </w:t>
      </w:r>
      <w:hyperlink r:id="rId9" w:history="1">
        <w:r w:rsidR="00F30D23" w:rsidRPr="00552D62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 w:rsidR="00F30D23">
        <w:rPr>
          <w:rFonts w:asciiTheme="minorHAnsi" w:hAnsiTheme="minorHAnsi"/>
        </w:rPr>
        <w:t xml:space="preserve"> pro výzvu č. </w:t>
      </w:r>
      <w:r w:rsidR="000E7648">
        <w:rPr>
          <w:rFonts w:asciiTheme="minorHAnsi" w:hAnsiTheme="minorHAnsi"/>
        </w:rPr>
        <w:t>32</w:t>
      </w:r>
      <w:r w:rsidR="00F30D23">
        <w:rPr>
          <w:rFonts w:asciiTheme="minorHAnsi" w:hAnsiTheme="minorHAnsi"/>
        </w:rPr>
        <w:t xml:space="preserve">, viz:  </w:t>
      </w:r>
    </w:p>
    <w:p w:rsidR="000E7648" w:rsidRPr="000E7648" w:rsidRDefault="009F7091" w:rsidP="000E7648">
      <w:pPr>
        <w:pStyle w:val="Odstavecseseznamem"/>
        <w:spacing w:after="120"/>
        <w:ind w:left="425"/>
        <w:jc w:val="both"/>
        <w:rPr>
          <w:rStyle w:val="Hypertextovodkaz"/>
          <w:rFonts w:asciiTheme="minorHAnsi" w:hAnsiTheme="minorHAnsi"/>
        </w:rPr>
      </w:pPr>
      <w:hyperlink r:id="rId10" w:history="1">
        <w:r w:rsidR="000E7648" w:rsidRPr="000E7648">
          <w:rPr>
            <w:rStyle w:val="Hypertextovodkaz"/>
            <w:rFonts w:asciiTheme="minorHAnsi" w:hAnsiTheme="minorHAnsi"/>
          </w:rPr>
          <w:t>http://dotaceeu.cz/cs/Microsites/IROP/Vyzvy/Vyzva-c-32-Infrastruktura-strednich-a-vyssich-odbornych-skol</w:t>
        </w:r>
      </w:hyperlink>
      <w:r w:rsidR="000E7648">
        <w:rPr>
          <w:rStyle w:val="Hypertextovodkaz"/>
          <w:rFonts w:asciiTheme="minorHAnsi" w:hAnsiTheme="minorHAnsi"/>
        </w:rPr>
        <w:t>.</w:t>
      </w:r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lastRenderedPageBreak/>
        <w:t xml:space="preserve">Pro potřebu průběžného sledování nákladů  zhotovitel vyhotoví a s každou fakturou objednateli předá elektronický přehled čerpání položek rozpočtu za fakturované období a to ve formátu </w:t>
      </w:r>
      <w:r w:rsidR="00FF1078">
        <w:rPr>
          <w:rFonts w:asciiTheme="minorHAnsi" w:hAnsiTheme="minorHAnsi"/>
        </w:rPr>
        <w:t xml:space="preserve">kompatibilním s </w:t>
      </w:r>
      <w:r w:rsidRPr="00D5059E">
        <w:rPr>
          <w:rFonts w:asciiTheme="minorHAnsi" w:hAnsiTheme="minorHAnsi"/>
        </w:rPr>
        <w:t>MS Excel.</w:t>
      </w:r>
      <w:r w:rsidR="00FF1078">
        <w:rPr>
          <w:rFonts w:asciiTheme="minorHAnsi" w:hAnsiTheme="minorHAnsi"/>
        </w:rPr>
        <w:t xml:space="preserve"> </w:t>
      </w:r>
      <w:r w:rsidRPr="00D5059E">
        <w:rPr>
          <w:rFonts w:asciiTheme="minorHAnsi" w:hAnsiTheme="minorHAnsi"/>
        </w:rPr>
        <w:t xml:space="preserve">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0E7648">
        <w:rPr>
          <w:rFonts w:asciiTheme="minorHAnsi" w:hAnsiTheme="minorHAnsi"/>
        </w:rPr>
        <w:br/>
      </w:r>
      <w:r w:rsidR="00B553E1">
        <w:rPr>
          <w:rFonts w:asciiTheme="minorHAnsi" w:hAnsiTheme="minorHAnsi"/>
        </w:rPr>
        <w:t xml:space="preserve">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</w:t>
      </w:r>
      <w:r w:rsidR="000E7648">
        <w:rPr>
          <w:rFonts w:asciiTheme="minorHAnsi" w:hAnsiTheme="minorHAnsi" w:cs="Arial"/>
        </w:rPr>
        <w:t>4</w:t>
      </w:r>
      <w:r w:rsidR="00B553E1" w:rsidRPr="00B553E1">
        <w:rPr>
          <w:rFonts w:asciiTheme="minorHAnsi" w:hAnsiTheme="minorHAnsi" w:cs="Arial"/>
        </w:rPr>
        <w:t xml:space="preserve"> x 0,</w:t>
      </w:r>
      <w:r w:rsidR="000E7648">
        <w:rPr>
          <w:rFonts w:asciiTheme="minorHAnsi" w:hAnsiTheme="minorHAnsi" w:cs="Arial"/>
        </w:rPr>
        <w:t>3</w:t>
      </w:r>
      <w:r w:rsidR="00B553E1" w:rsidRPr="00B553E1">
        <w:rPr>
          <w:rFonts w:asciiTheme="minorHAnsi" w:hAnsiTheme="minorHAnsi" w:cs="Arial"/>
        </w:rPr>
        <w:t xml:space="preserve"> m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93" w:rsidRDefault="00152393">
      <w:r>
        <w:separator/>
      </w:r>
    </w:p>
  </w:endnote>
  <w:endnote w:type="continuationSeparator" w:id="0">
    <w:p w:rsidR="00152393" w:rsidRDefault="00152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Default="00F1379D" w:rsidP="00DC1CBB">
    <w:pPr>
      <w:pStyle w:val="Zpat"/>
      <w:pBdr>
        <w:top w:val="single" w:sz="4" w:space="1" w:color="auto"/>
      </w:pBdr>
      <w:jc w:val="center"/>
      <w:rPr>
        <w:rStyle w:val="slostrnky"/>
      </w:rPr>
    </w:pPr>
    <w:r w:rsidRPr="00DC1CBB">
      <w:rPr>
        <w:rFonts w:ascii="Arial" w:hAnsi="Arial" w:cs="Arial"/>
      </w:rPr>
      <w:t xml:space="preserve">Strana </w:t>
    </w:r>
    <w:r w:rsidR="00692E2D" w:rsidRPr="00DC1CBB">
      <w:rPr>
        <w:rFonts w:ascii="Arial" w:hAnsi="Arial" w:cs="Arial"/>
      </w:rPr>
      <w:fldChar w:fldCharType="begin"/>
    </w:r>
    <w:r w:rsidRPr="00DC1CBB">
      <w:rPr>
        <w:rFonts w:ascii="Arial" w:hAnsi="Arial" w:cs="Arial"/>
      </w:rPr>
      <w:instrText xml:space="preserve"> PAGE </w:instrText>
    </w:r>
    <w:r w:rsidR="00692E2D" w:rsidRPr="00DC1CBB">
      <w:rPr>
        <w:rFonts w:ascii="Arial" w:hAnsi="Arial" w:cs="Arial"/>
      </w:rPr>
      <w:fldChar w:fldCharType="separate"/>
    </w:r>
    <w:r w:rsidR="009F7091">
      <w:rPr>
        <w:rFonts w:ascii="Arial" w:hAnsi="Arial" w:cs="Arial"/>
        <w:noProof/>
      </w:rPr>
      <w:t>2</w:t>
    </w:r>
    <w:r w:rsidR="00692E2D" w:rsidRPr="00DC1CBB">
      <w:rPr>
        <w:rFonts w:ascii="Arial" w:hAnsi="Arial" w:cs="Arial"/>
      </w:rPr>
      <w:fldChar w:fldCharType="end"/>
    </w:r>
    <w:r w:rsidRPr="00DC1CBB">
      <w:rPr>
        <w:rFonts w:ascii="Arial" w:hAnsi="Arial" w:cs="Arial"/>
      </w:rPr>
      <w:t xml:space="preserve"> (celkem </w:t>
    </w:r>
    <w:r w:rsidR="005B2111" w:rsidRPr="00DC1CBB">
      <w:rPr>
        <w:rFonts w:ascii="Arial" w:hAnsi="Arial" w:cs="Arial"/>
      </w:rPr>
      <w:fldChar w:fldCharType="begin"/>
    </w:r>
    <w:r w:rsidR="005B2111" w:rsidRPr="00DC1CBB">
      <w:rPr>
        <w:rFonts w:ascii="Arial" w:hAnsi="Arial" w:cs="Arial"/>
      </w:rPr>
      <w:instrText xml:space="preserve"> NUMPAGES </w:instrText>
    </w:r>
    <w:r w:rsidR="005B2111" w:rsidRPr="00DC1CBB">
      <w:rPr>
        <w:rFonts w:ascii="Arial" w:hAnsi="Arial" w:cs="Arial"/>
      </w:rPr>
      <w:fldChar w:fldCharType="separate"/>
    </w:r>
    <w:r w:rsidR="009F7091">
      <w:rPr>
        <w:rFonts w:ascii="Arial" w:hAnsi="Arial" w:cs="Arial"/>
        <w:noProof/>
      </w:rPr>
      <w:t>2</w:t>
    </w:r>
    <w:r w:rsidR="005B2111" w:rsidRPr="00DC1CBB">
      <w:rPr>
        <w:rFonts w:ascii="Arial" w:hAnsi="Arial" w:cs="Arial"/>
        <w:noProof/>
      </w:rPr>
      <w:fldChar w:fldCharType="end"/>
    </w:r>
    <w:r w:rsidR="00DC1CBB">
      <w:rPr>
        <w:rFonts w:ascii="Arial" w:hAnsi="Arial" w:cs="Arial"/>
        <w:noProof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93" w:rsidRDefault="00152393">
      <w:r>
        <w:separator/>
      </w:r>
    </w:p>
  </w:footnote>
  <w:footnote w:type="continuationSeparator" w:id="0">
    <w:p w:rsidR="00152393" w:rsidRDefault="00152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975CB0" w:rsidRDefault="00F1379D">
    <w:pPr>
      <w:pStyle w:val="Zhlav"/>
      <w:pBdr>
        <w:bottom w:val="single" w:sz="6" w:space="1" w:color="auto"/>
      </w:pBdr>
      <w:rPr>
        <w:rFonts w:ascii="Arial" w:hAnsi="Arial"/>
        <w:sz w:val="22"/>
        <w:szCs w:val="22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2FF"/>
    <w:rsid w:val="00116DA2"/>
    <w:rsid w:val="00126D82"/>
    <w:rsid w:val="00136870"/>
    <w:rsid w:val="00145443"/>
    <w:rsid w:val="0015239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22E35"/>
    <w:rsid w:val="00233542"/>
    <w:rsid w:val="0024174D"/>
    <w:rsid w:val="002450FD"/>
    <w:rsid w:val="00267416"/>
    <w:rsid w:val="0027074D"/>
    <w:rsid w:val="002A1096"/>
    <w:rsid w:val="002A2466"/>
    <w:rsid w:val="002B3DFC"/>
    <w:rsid w:val="002D599C"/>
    <w:rsid w:val="003027B2"/>
    <w:rsid w:val="00312698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111"/>
    <w:rsid w:val="005B29AA"/>
    <w:rsid w:val="005C7527"/>
    <w:rsid w:val="005C7CD6"/>
    <w:rsid w:val="005D65C7"/>
    <w:rsid w:val="005F46BA"/>
    <w:rsid w:val="00603CEF"/>
    <w:rsid w:val="00604354"/>
    <w:rsid w:val="00605261"/>
    <w:rsid w:val="00624BBA"/>
    <w:rsid w:val="006272B0"/>
    <w:rsid w:val="006332CA"/>
    <w:rsid w:val="00641383"/>
    <w:rsid w:val="00677030"/>
    <w:rsid w:val="00683CAE"/>
    <w:rsid w:val="00692E2D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349AD"/>
    <w:rsid w:val="00937F45"/>
    <w:rsid w:val="00950EC4"/>
    <w:rsid w:val="00952265"/>
    <w:rsid w:val="00975CB0"/>
    <w:rsid w:val="009804EF"/>
    <w:rsid w:val="009A10D4"/>
    <w:rsid w:val="009A13E4"/>
    <w:rsid w:val="009B1BDD"/>
    <w:rsid w:val="009D69F2"/>
    <w:rsid w:val="009E72CD"/>
    <w:rsid w:val="009F7091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7FB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E6CE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1CBB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D23"/>
    <w:rsid w:val="00F31C52"/>
    <w:rsid w:val="00F44EF4"/>
    <w:rsid w:val="00F57616"/>
    <w:rsid w:val="00F60C15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1078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eu.cz/cs/Microsites/IROP/Vyzvy/Vyzva-c-32-Infrastruktura-strednich-a-vyssich-odbornych-sko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Uvodni-stran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2AE4-68A4-44EE-A960-A6B00E2A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585</Words>
  <Characters>3918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4495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7</cp:revision>
  <cp:lastPrinted>2016-01-22T06:46:00Z</cp:lastPrinted>
  <dcterms:created xsi:type="dcterms:W3CDTF">2017-05-12T09:05:00Z</dcterms:created>
  <dcterms:modified xsi:type="dcterms:W3CDTF">2017-10-30T11:32:00Z</dcterms:modified>
</cp:coreProperties>
</file>