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276249" w:rsidRPr="00276249">
        <w:rPr>
          <w:rFonts w:asciiTheme="minorHAnsi" w:hAnsiTheme="minorHAnsi" w:cs="Arial"/>
          <w:b/>
        </w:rPr>
        <w:t>Realizace úspor energie - Integrovaná SŠ technická Vysoké Mýto, hala dílen</w:t>
      </w:r>
      <w:r w:rsidR="008861A0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19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E75CE5" w:rsidRDefault="000C7988" w:rsidP="00E8312A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E75CE5">
        <w:rPr>
          <w:rFonts w:asciiTheme="minorHAnsi" w:hAnsiTheme="minorHAnsi"/>
        </w:rPr>
        <w:t>Na každé faktuře bude jednoznačně uvedeno, že se jedná o projekt související</w:t>
      </w:r>
      <w:r w:rsidR="00E75CE5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Operačním programem Životní prostředí (dále jen OPŽP) s názvem: </w:t>
      </w:r>
      <w:r w:rsidR="00276249" w:rsidRPr="00E8312A">
        <w:rPr>
          <w:rFonts w:asciiTheme="minorHAnsi" w:hAnsiTheme="minorHAnsi"/>
          <w:b/>
        </w:rPr>
        <w:t>Realizace úspor energie - Integrovaná SŠ technická Vysoké Mýto, hala dílen</w:t>
      </w:r>
      <w:r w:rsidRPr="00E75CE5">
        <w:rPr>
          <w:rFonts w:asciiTheme="minorHAnsi" w:hAnsiTheme="minorHAnsi"/>
        </w:rPr>
        <w:t xml:space="preserve"> s registračním číslem projektu </w:t>
      </w:r>
      <w:r w:rsidR="00E8312A" w:rsidRPr="00E8312A">
        <w:rPr>
          <w:rFonts w:asciiTheme="minorHAnsi" w:hAnsiTheme="minorHAnsi"/>
          <w:b/>
        </w:rPr>
        <w:t>CZ.05.5.18/0.0/0.0/15_019/0001656</w:t>
      </w:r>
      <w:r w:rsidRPr="00E75CE5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9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5D11F4">
        <w:rPr>
          <w:rFonts w:asciiTheme="minorHAnsi" w:hAnsiTheme="minorHAnsi"/>
          <w:b/>
          <w:u w:val="single"/>
        </w:rPr>
        <w:t>http://</w:t>
      </w:r>
      <w:proofErr w:type="gramStart"/>
      <w:r w:rsidR="00B52129" w:rsidRPr="005D11F4">
        <w:rPr>
          <w:rFonts w:asciiTheme="minorHAnsi" w:hAnsiTheme="minorHAnsi"/>
          <w:b/>
          <w:u w:val="single"/>
        </w:rPr>
        <w:t>www.strukturalni-fondy</w:t>
      </w:r>
      <w:proofErr w:type="gramEnd"/>
      <w:r w:rsidR="00B52129" w:rsidRPr="005D11F4">
        <w:rPr>
          <w:rFonts w:asciiTheme="minorHAnsi" w:hAnsiTheme="minorHAnsi"/>
          <w:b/>
          <w:u w:val="single"/>
        </w:rPr>
        <w:t>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</w:t>
      </w:r>
      <w:proofErr w:type="gramStart"/>
      <w:r w:rsidR="00B6120D" w:rsidRPr="00594FC3">
        <w:rPr>
          <w:rFonts w:asciiTheme="minorHAnsi" w:hAnsiTheme="minorHAnsi" w:cs="Arial"/>
        </w:rPr>
        <w:t xml:space="preserve">dobu </w:t>
      </w:r>
      <w:r w:rsidR="00EF7707">
        <w:rPr>
          <w:rFonts w:asciiTheme="minorHAnsi" w:hAnsiTheme="minorHAnsi" w:cs="Arial"/>
        </w:rPr>
        <w:t>5-ti</w:t>
      </w:r>
      <w:proofErr w:type="gramEnd"/>
      <w:r w:rsidR="00EF7707">
        <w:rPr>
          <w:rFonts w:asciiTheme="minorHAnsi" w:hAnsiTheme="minorHAnsi" w:cs="Arial"/>
        </w:rPr>
        <w:t xml:space="preserve">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D55B58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D55B58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5B58"/>
    <w:rsid w:val="00D723B1"/>
    <w:rsid w:val="00D86C85"/>
    <w:rsid w:val="00D96192"/>
    <w:rsid w:val="00D97485"/>
    <w:rsid w:val="00DA4378"/>
    <w:rsid w:val="00DC1696"/>
    <w:rsid w:val="00DD0BB8"/>
    <w:rsid w:val="00DD61C3"/>
    <w:rsid w:val="00DE3B9E"/>
    <w:rsid w:val="00DF47F3"/>
    <w:rsid w:val="00E03257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otaceeu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C96E-F2A4-472E-B1B1-46169EDD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767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5590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28</cp:revision>
  <cp:lastPrinted>2016-01-22T06:46:00Z</cp:lastPrinted>
  <dcterms:created xsi:type="dcterms:W3CDTF">2016-11-15T05:42:00Z</dcterms:created>
  <dcterms:modified xsi:type="dcterms:W3CDTF">2017-03-30T12:03:00Z</dcterms:modified>
</cp:coreProperties>
</file>