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2F7EA2" w:rsidRPr="002F7EA2">
        <w:rPr>
          <w:rFonts w:ascii="Arial" w:hAnsi="Arial" w:cs="Arial"/>
          <w:b/>
          <w:color w:val="000000" w:themeColor="text1"/>
          <w:sz w:val="22"/>
          <w:szCs w:val="22"/>
        </w:rPr>
        <w:t>Realizace úspor energie - Albertinum Žamberk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B32D2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5533B-4186-4F0F-911E-95A505D6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Brabec Zbyněk Ing.</cp:lastModifiedBy>
  <cp:revision>13</cp:revision>
  <dcterms:created xsi:type="dcterms:W3CDTF">2012-08-08T08:56:00Z</dcterms:created>
  <dcterms:modified xsi:type="dcterms:W3CDTF">2013-05-16T11:05:00Z</dcterms:modified>
</cp:coreProperties>
</file>