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081F4C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</w:t>
      </w:r>
      <w:bookmarkStart w:id="0" w:name="_GoBack"/>
      <w:bookmarkEnd w:id="0"/>
      <w:r w:rsidRPr="003D3553">
        <w:rPr>
          <w:rFonts w:asciiTheme="minorHAnsi" w:hAnsiTheme="minorHAnsi"/>
          <w:sz w:val="40"/>
          <w:szCs w:val="40"/>
        </w:rPr>
        <w:t>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:rsidR="00171A77" w:rsidRPr="00DB4D80" w:rsidRDefault="00624BBA" w:rsidP="00624BBA">
      <w:pPr>
        <w:ind w:right="-24"/>
        <w:rPr>
          <w:rFonts w:asciiTheme="minorHAnsi" w:hAnsiTheme="minorHAnsi" w:cstheme="minorHAnsi"/>
        </w:rPr>
      </w:pPr>
      <w:r w:rsidRPr="001B20C5">
        <w:rPr>
          <w:rFonts w:asciiTheme="minorHAnsi" w:hAnsiTheme="minorHAnsi" w:cstheme="minorHAnsi"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DB4D80" w:rsidRPr="001B20C5">
        <w:rPr>
          <w:rFonts w:asciiTheme="minorHAnsi" w:hAnsiTheme="minorHAnsi" w:cstheme="minorHAnsi"/>
          <w:b/>
        </w:rPr>
        <w:t>Transformace Domova pod Kuňkou – areál Ke Tvrzi</w:t>
      </w:r>
    </w:p>
    <w:p w:rsidR="006E0B12" w:rsidRPr="005A1FE8" w:rsidRDefault="001F727B" w:rsidP="006E0B12">
      <w:pPr>
        <w:shd w:val="clear" w:color="auto" w:fill="FFFFFF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>:</w:t>
      </w:r>
      <w:r w:rsidR="006E0B12">
        <w:rPr>
          <w:rFonts w:asciiTheme="minorHAnsi" w:hAnsiTheme="minorHAnsi" w:cstheme="minorHAnsi"/>
          <w:b/>
        </w:rPr>
        <w:t xml:space="preserve"> </w:t>
      </w:r>
      <w:r w:rsidR="00DB4D80">
        <w:rPr>
          <w:rFonts w:asciiTheme="minorHAnsi" w:hAnsiTheme="minorHAnsi" w:cstheme="minorHAnsi"/>
        </w:rPr>
        <w:t>bude doplněno</w:t>
      </w:r>
    </w:p>
    <w:p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:rsidR="00A10E9F" w:rsidRPr="00CC1A24" w:rsidRDefault="00A10E9F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DB4D80" w:rsidRPr="00DB4D80">
        <w:rPr>
          <w:rFonts w:asciiTheme="minorHAnsi" w:hAnsiTheme="minorHAnsi" w:cstheme="minorHAnsi"/>
        </w:rPr>
        <w:t>58. výzva IROP - Deinstitucionalizace sociálních služeb - SC 4.2 (MRR)</w:t>
      </w:r>
    </w:p>
    <w:p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:rsidR="008F2822" w:rsidRPr="003213D5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DB4D80">
        <w:rPr>
          <w:rFonts w:asciiTheme="minorHAnsi" w:hAnsiTheme="minorHAnsi" w:cstheme="minorHAnsi"/>
        </w:rPr>
        <w:t>Hana Böhmová,</w:t>
      </w:r>
      <w:proofErr w:type="gramStart"/>
      <w:r w:rsidR="00DB4D80">
        <w:rPr>
          <w:rFonts w:asciiTheme="minorHAnsi" w:hAnsiTheme="minorHAnsi" w:cstheme="minorHAnsi"/>
        </w:rPr>
        <w:t>tel.</w:t>
      </w:r>
      <w:r w:rsidR="000C3A82" w:rsidRPr="003213D5">
        <w:rPr>
          <w:rFonts w:asciiTheme="minorHAnsi" w:hAnsiTheme="minorHAnsi" w:cstheme="minorHAnsi"/>
        </w:rPr>
        <w:t>466</w:t>
      </w:r>
      <w:r w:rsidR="00A40911" w:rsidRPr="003213D5">
        <w:rPr>
          <w:rFonts w:asciiTheme="minorHAnsi" w:hAnsiTheme="minorHAnsi" w:cstheme="minorHAnsi"/>
        </w:rPr>
        <w:t> </w:t>
      </w:r>
      <w:r w:rsidR="000C3A82" w:rsidRPr="003213D5">
        <w:rPr>
          <w:rFonts w:asciiTheme="minorHAnsi" w:hAnsiTheme="minorHAnsi" w:cstheme="minorHAnsi"/>
        </w:rPr>
        <w:t>026</w:t>
      </w:r>
      <w:r w:rsidR="00A40911" w:rsidRPr="003213D5">
        <w:rPr>
          <w:rFonts w:asciiTheme="minorHAnsi" w:hAnsiTheme="minorHAnsi" w:cstheme="minorHAnsi"/>
        </w:rPr>
        <w:t> </w:t>
      </w:r>
      <w:r w:rsidR="00DB4D80">
        <w:rPr>
          <w:rFonts w:asciiTheme="minorHAnsi" w:hAnsiTheme="minorHAnsi" w:cstheme="minorHAnsi"/>
        </w:rPr>
        <w:t>695</w:t>
      </w:r>
      <w:proofErr w:type="gramEnd"/>
      <w:r w:rsidRPr="003213D5">
        <w:rPr>
          <w:rFonts w:asciiTheme="minorHAnsi" w:hAnsiTheme="minorHAnsi" w:cstheme="minorHAnsi"/>
        </w:rPr>
        <w:t>,</w:t>
      </w:r>
      <w:r w:rsidR="00DB4D80">
        <w:rPr>
          <w:rFonts w:asciiTheme="minorHAnsi" w:hAnsiTheme="minorHAnsi" w:cstheme="minorHAnsi"/>
        </w:rPr>
        <w:t>hana.bohmova@pardubickykraj.cz</w:t>
      </w:r>
    </w:p>
    <w:p w:rsidR="00A10E9F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:rsidR="00C52297" w:rsidRPr="00616632" w:rsidRDefault="00C52297" w:rsidP="005A1FE8">
      <w:pPr>
        <w:ind w:right="-24"/>
        <w:jc w:val="both"/>
        <w:rPr>
          <w:rFonts w:asciiTheme="minorHAnsi" w:hAnsiTheme="minorHAnsi" w:cstheme="minorHAnsi"/>
        </w:rPr>
      </w:pPr>
      <w:r w:rsidRPr="00C52297">
        <w:rPr>
          <w:rFonts w:asciiTheme="minorHAnsi" w:hAnsiTheme="minorHAnsi" w:cstheme="minorHAnsi"/>
        </w:rPr>
        <w:t xml:space="preserve">V průběhu realizace budou dodržována pravidla výzvy č. </w:t>
      </w:r>
      <w:r w:rsidR="00DB4D80">
        <w:rPr>
          <w:rFonts w:asciiTheme="minorHAnsi" w:hAnsiTheme="minorHAnsi" w:cstheme="minorHAnsi"/>
        </w:rPr>
        <w:t>58</w:t>
      </w:r>
      <w:r>
        <w:rPr>
          <w:rFonts w:asciiTheme="minorHAnsi" w:hAnsiTheme="minorHAnsi" w:cstheme="minorHAnsi"/>
        </w:rPr>
        <w:t>, veškerá dokumentace je</w:t>
      </w:r>
      <w:r w:rsidRPr="00C52297">
        <w:rPr>
          <w:rFonts w:asciiTheme="minorHAnsi" w:hAnsiTheme="minorHAnsi" w:cstheme="minorHAnsi"/>
        </w:rPr>
        <w:t xml:space="preserve"> dostupná na odkaze:  </w:t>
      </w:r>
      <w:hyperlink r:id="rId8" w:history="1">
        <w:r w:rsidR="001B20C5" w:rsidRPr="00F4051C">
          <w:rPr>
            <w:rStyle w:val="Hypertextovodkaz"/>
            <w:rFonts w:asciiTheme="minorHAnsi" w:hAnsiTheme="minorHAnsi" w:cstheme="minorHAnsi"/>
          </w:rPr>
          <w:t>https://irop.gov.cz/cs/vyzvy-2021-2027/vyzvy/58vyzvairop</w:t>
        </w:r>
      </w:hyperlink>
      <w:r w:rsidR="001B20C5">
        <w:rPr>
          <w:rFonts w:asciiTheme="minorHAnsi" w:hAnsiTheme="minorHAnsi" w:cstheme="minorHAnsi"/>
        </w:rPr>
        <w:t xml:space="preserve"> </w:t>
      </w:r>
    </w:p>
    <w:p w:rsidR="00C52297" w:rsidRPr="003213D5" w:rsidRDefault="00C52297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:rsidR="004960BF" w:rsidRPr="003213D5" w:rsidRDefault="004960BF" w:rsidP="00081F4C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1B20C5" w:rsidRPr="001B20C5">
        <w:t xml:space="preserve"> </w:t>
      </w:r>
      <w:r w:rsidR="001B20C5" w:rsidRPr="001B20C5">
        <w:rPr>
          <w:b/>
        </w:rPr>
        <w:t>„</w:t>
      </w:r>
      <w:r w:rsidR="001B20C5" w:rsidRPr="001B20C5">
        <w:rPr>
          <w:rFonts w:asciiTheme="minorHAnsi" w:hAnsiTheme="minorHAnsi" w:cstheme="minorHAnsi"/>
          <w:b/>
        </w:rPr>
        <w:t>Transformace Domova pod Kuňkou – areál Ke Tvrzi“</w:t>
      </w:r>
      <w:r w:rsidR="0076682F" w:rsidRPr="001B20C5">
        <w:rPr>
          <w:rFonts w:asciiTheme="minorHAnsi" w:hAnsiTheme="minorHAnsi" w:cstheme="minorHAnsi"/>
          <w:b/>
        </w:rPr>
        <w:t xml:space="preserve"> </w:t>
      </w:r>
      <w:r w:rsidR="0076682F" w:rsidRPr="003213D5">
        <w:rPr>
          <w:rFonts w:asciiTheme="minorHAnsi" w:hAnsiTheme="minorHAnsi" w:cstheme="minorHAnsi"/>
        </w:rPr>
        <w:t xml:space="preserve">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5A1FE8">
        <w:rPr>
          <w:rFonts w:asciiTheme="minorHAnsi" w:hAnsiTheme="minorHAnsi" w:cstheme="minorHAnsi"/>
        </w:rPr>
        <w:t xml:space="preserve"> </w:t>
      </w:r>
      <w:r w:rsidR="001B20C5">
        <w:rPr>
          <w:rFonts w:asciiTheme="minorHAnsi" w:hAnsiTheme="minorHAnsi" w:cstheme="minorHAnsi"/>
          <w:b/>
        </w:rPr>
        <w:t>(bude doplněno)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 poskytovatele dotace.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486026">
        <w:rPr>
          <w:rFonts w:asciiTheme="minorHAnsi" w:hAnsiTheme="minorHAnsi" w:cstheme="minorHAnsi"/>
        </w:rPr>
        <w:t xml:space="preserve"> či</w:t>
      </w:r>
      <w:r w:rsidR="0050037B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závěrečn</w:t>
      </w:r>
      <w:r w:rsidR="00486026">
        <w:rPr>
          <w:rFonts w:asciiTheme="minorHAnsi" w:hAnsiTheme="minorHAnsi" w:cstheme="minorHAnsi"/>
        </w:rPr>
        <w:t>é zprávy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D569D1">
        <w:rPr>
          <w:rFonts w:asciiTheme="minorHAnsi" w:hAnsiTheme="minorHAnsi" w:cstheme="minorHAnsi"/>
        </w:rPr>
        <w:t xml:space="preserve"> projektu a zpráv o udržitelnosti projektu. </w:t>
      </w:r>
    </w:p>
    <w:p w:rsidR="00062A0D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>Zhotovite</w:t>
      </w:r>
      <w:r w:rsidR="0065539D" w:rsidRPr="003213D5">
        <w:rPr>
          <w:rFonts w:asciiTheme="minorHAnsi" w:hAnsiTheme="minorHAnsi" w:cstheme="minorHAnsi"/>
        </w:rPr>
        <w:t xml:space="preserve">l je povinen </w:t>
      </w:r>
      <w:r w:rsidR="00062A0D">
        <w:rPr>
          <w:rFonts w:asciiTheme="minorHAnsi" w:hAnsiTheme="minorHAnsi" w:cstheme="minorHAnsi"/>
        </w:rPr>
        <w:t xml:space="preserve">uchovávat veškerou dokumentaci související s realizací projektu včetně účetních dokladů minimálně do 31. 12. 2035. Pokud je v českých právních předpisech stanovena lhůta delší, musí být použita tato delší lhůta. </w:t>
      </w:r>
    </w:p>
    <w:p w:rsidR="004960BF" w:rsidRPr="003213D5" w:rsidRDefault="00062A0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Zhotovitel je povinen minimálně do 31. 12. 2035 </w:t>
      </w:r>
      <w:r w:rsidR="0012186A" w:rsidRPr="003213D5">
        <w:rPr>
          <w:rFonts w:asciiTheme="minorHAnsi" w:hAnsiTheme="minorHAnsi" w:cstheme="minorHAnsi"/>
        </w:rPr>
        <w:t>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projektu zaměstnancům nebo zmocněncům pověřených orgánů (CRR, MMR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předá</w:t>
      </w:r>
      <w:r w:rsidR="00664448">
        <w:rPr>
          <w:rFonts w:asciiTheme="minorHAnsi" w:hAnsiTheme="minorHAnsi" w:cstheme="minorHAnsi"/>
        </w:rPr>
        <w:t xml:space="preserve"> v elektronické podobě</w:t>
      </w:r>
      <w:r w:rsidRPr="003213D5">
        <w:rPr>
          <w:rFonts w:asciiTheme="minorHAnsi" w:hAnsiTheme="minorHAnsi" w:cstheme="minorHAnsi"/>
        </w:rPr>
        <w:t xml:space="preserve">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popis provedených prací</w:t>
      </w:r>
      <w:r w:rsidRPr="003213D5">
        <w:rPr>
          <w:rFonts w:asciiTheme="minorHAnsi" w:hAnsiTheme="minorHAnsi" w:cstheme="minorHAnsi"/>
        </w:rPr>
        <w:t>.</w:t>
      </w:r>
    </w:p>
    <w:p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po zahájení realizace projektu v místě realizace dočasný billboard o rozměrech </w:t>
      </w:r>
      <w:r>
        <w:rPr>
          <w:rFonts w:ascii="Calibri" w:hAnsi="Calibri" w:cs="Calibri"/>
        </w:rPr>
        <w:t xml:space="preserve">min. 2,1 x 2,2 m a max. </w:t>
      </w:r>
      <w:r w:rsidRPr="00745065">
        <w:rPr>
          <w:rFonts w:ascii="Calibri" w:hAnsi="Calibri" w:cs="Calibri"/>
        </w:rPr>
        <w:t xml:space="preserve">5,1 x 2,4 m (standardní </w:t>
      </w:r>
      <w:proofErr w:type="spellStart"/>
      <w:r w:rsidRPr="00745065">
        <w:rPr>
          <w:rFonts w:ascii="Calibri" w:hAnsi="Calibri" w:cs="Calibri"/>
        </w:rPr>
        <w:t>euroformát</w:t>
      </w:r>
      <w:proofErr w:type="spellEnd"/>
      <w:r w:rsidRPr="00745065">
        <w:rPr>
          <w:rFonts w:ascii="Calibri" w:hAnsi="Calibri" w:cs="Calibri"/>
        </w:rPr>
        <w:t>), který bude instalován po celou dobu realizace projektu.</w:t>
      </w:r>
    </w:p>
    <w:p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>Dočasný billboard bude umístěn nejpozději v den zahájení fyzických prací, zhotovitel provede o této skutečnosti zápis do stavebního deníku a pořídí fotodokumentaci billboardu, kterou následně zašle manažerovi projektu.</w:t>
      </w:r>
    </w:p>
    <w:p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v závěru prací v místě realizace projektu stálou pamětní desku o minimální velikosti 0,3 x 0,4 m (lze použít na výšku i na šířku), která musí být umístěna v místě viditelném pro veřejnost. Zhotovitel provede o této skutečnosti zápis do stavebního deníku a pořídí její fotodokumentaci. Stálá pamětní deska, kotevní prvky a </w:t>
      </w:r>
      <w:r w:rsidRPr="00745065">
        <w:rPr>
          <w:rFonts w:ascii="Calibri" w:hAnsi="Calibri" w:cs="Calibri"/>
        </w:rPr>
        <w:lastRenderedPageBreak/>
        <w:t>podklad musí být z odolného a trvalého materiálu, aby zůstaly zachovány jejich vlastnosti a vzhled po celou dobu pětileté udržitelnosti projektu.</w:t>
      </w:r>
    </w:p>
    <w:p w:rsidR="00F528ED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Grafické podklady pro výrobu dočasného billboardu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 Veškeré povolené alternativy prvků publicity jsou k dispozici na webových stránkách poskytovatele dotace. Umístění billboardu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 projektu.</w:t>
      </w:r>
    </w:p>
    <w:p w:rsidR="00797471" w:rsidRPr="00004811" w:rsidRDefault="00797471" w:rsidP="00616632">
      <w:pPr>
        <w:pStyle w:val="Odstavecseseznamem"/>
        <w:numPr>
          <w:ilvl w:val="0"/>
          <w:numId w:val="28"/>
        </w:numPr>
        <w:spacing w:after="120"/>
        <w:ind w:hanging="578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t xml:space="preserve">UPOZORNĚNÍ – DNSH </w:t>
      </w:r>
    </w:p>
    <w:p w:rsidR="0061370B" w:rsidRDefault="00616632" w:rsidP="00616632">
      <w:pPr>
        <w:autoSpaceDE w:val="0"/>
        <w:autoSpaceDN w:val="0"/>
        <w:adjustRightInd w:val="0"/>
        <w:ind w:left="720" w:hanging="5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97471"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  <w:r w:rsidR="00674178">
        <w:rPr>
          <w:rFonts w:asciiTheme="minorHAnsi" w:hAnsiTheme="minorHAnsi" w:cstheme="minorHAnsi"/>
        </w:rPr>
        <w:t xml:space="preserve"> </w:t>
      </w:r>
      <w:r w:rsidR="00797471"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</w:t>
      </w:r>
      <w:r w:rsidR="0061370B">
        <w:rPr>
          <w:rFonts w:asciiTheme="minorHAnsi" w:hAnsiTheme="minorHAnsi" w:cstheme="minorHAnsi"/>
        </w:rPr>
        <w:t xml:space="preserve">kud jsou pro projekt relevantní. </w:t>
      </w:r>
    </w:p>
    <w:p w:rsidR="00797471" w:rsidRPr="00674178" w:rsidRDefault="00797471" w:rsidP="00081F4C">
      <w:pPr>
        <w:autoSpaceDE w:val="0"/>
        <w:autoSpaceDN w:val="0"/>
        <w:adjustRightInd w:val="0"/>
        <w:spacing w:before="120"/>
        <w:ind w:left="426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Udržitelné využívání a ochrana vodních zdrojů:</w:t>
      </w:r>
    </w:p>
    <w:p w:rsidR="00797471" w:rsidRPr="003213D5" w:rsidRDefault="00797471" w:rsidP="00081F4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:rsidR="00797471" w:rsidRPr="003213D5" w:rsidRDefault="00797471" w:rsidP="00081F4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:rsidR="00797471" w:rsidRPr="003213D5" w:rsidRDefault="00797471" w:rsidP="00081F4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:rsidR="00797471" w:rsidRPr="003213D5" w:rsidRDefault="00797471" w:rsidP="00081F4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:rsidR="00797471" w:rsidRDefault="00797471" w:rsidP="00081F4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:rsidR="00797471" w:rsidRPr="00674178" w:rsidRDefault="00797471" w:rsidP="00081F4C">
      <w:pPr>
        <w:autoSpaceDE w:val="0"/>
        <w:autoSpaceDN w:val="0"/>
        <w:adjustRightInd w:val="0"/>
        <w:spacing w:before="120"/>
        <w:ind w:left="426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Přechod na oběhové hospodářství:</w:t>
      </w:r>
    </w:p>
    <w:p w:rsidR="00797471" w:rsidRDefault="00797471" w:rsidP="00081F4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:rsidR="00797471" w:rsidRPr="00674178" w:rsidRDefault="00797471" w:rsidP="00081F4C">
      <w:pPr>
        <w:autoSpaceDE w:val="0"/>
        <w:autoSpaceDN w:val="0"/>
        <w:adjustRightInd w:val="0"/>
        <w:spacing w:before="120"/>
        <w:ind w:left="426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Prevence a omezování znečištění:</w:t>
      </w:r>
    </w:p>
    <w:p w:rsidR="00797471" w:rsidRPr="003213D5" w:rsidRDefault="00797471" w:rsidP="00081F4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</w:t>
      </w:r>
      <w:proofErr w:type="spellStart"/>
      <w:r w:rsidRPr="003213D5">
        <w:rPr>
          <w:rFonts w:asciiTheme="minorHAnsi" w:hAnsiTheme="minorHAnsi" w:cstheme="minorHAnsi"/>
        </w:rPr>
        <w:t>brownfield</w:t>
      </w:r>
      <w:proofErr w:type="spellEnd"/>
      <w:r w:rsidRPr="003213D5">
        <w:rPr>
          <w:rFonts w:asciiTheme="minorHAnsi" w:hAnsiTheme="minorHAnsi" w:cstheme="minorHAnsi"/>
        </w:rPr>
        <w:t>), bylo na staveništi provedeno šetření na potenciální kontaminující látky, např. podle normy ISO 18400.</w:t>
      </w:r>
    </w:p>
    <w:p w:rsidR="00797471" w:rsidRPr="003213D5" w:rsidRDefault="00797471" w:rsidP="00081F4C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:rsidR="0061370B" w:rsidRPr="0061370B" w:rsidRDefault="0061370B" w:rsidP="00081F4C">
      <w:pPr>
        <w:pStyle w:val="Odstavecseseznamem"/>
        <w:numPr>
          <w:ilvl w:val="0"/>
          <w:numId w:val="28"/>
        </w:numPr>
        <w:spacing w:before="120"/>
        <w:ind w:left="425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 zpracuje podklady dle podmínek výzvy</w:t>
      </w:r>
      <w:r w:rsidR="00F410A4">
        <w:rPr>
          <w:rFonts w:asciiTheme="minorHAnsi" w:hAnsiTheme="minorHAnsi" w:cstheme="minorHAnsi"/>
        </w:rPr>
        <w:t xml:space="preserve"> k doložení plnění zásad DNSH. </w:t>
      </w:r>
    </w:p>
    <w:p w:rsidR="00616632" w:rsidRDefault="00674178" w:rsidP="00081F4C">
      <w:p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F410A4">
        <w:rPr>
          <w:rFonts w:asciiTheme="minorHAnsi" w:hAnsiTheme="minorHAnsi" w:cstheme="minorHAnsi"/>
        </w:rPr>
        <w:t xml:space="preserve">ližší pokyny </w:t>
      </w:r>
      <w:r>
        <w:rPr>
          <w:rFonts w:asciiTheme="minorHAnsi" w:hAnsiTheme="minorHAnsi" w:cstheme="minorHAnsi"/>
        </w:rPr>
        <w:t xml:space="preserve">k plnění </w:t>
      </w:r>
      <w:r w:rsidR="00F410A4">
        <w:rPr>
          <w:rFonts w:asciiTheme="minorHAnsi" w:hAnsiTheme="minorHAnsi" w:cstheme="minorHAnsi"/>
        </w:rPr>
        <w:t xml:space="preserve">a doporučené vzory </w:t>
      </w:r>
      <w:r>
        <w:rPr>
          <w:rFonts w:asciiTheme="minorHAnsi" w:hAnsiTheme="minorHAnsi" w:cstheme="minorHAnsi"/>
        </w:rPr>
        <w:t xml:space="preserve">viz: </w:t>
      </w:r>
    </w:p>
    <w:p w:rsidR="00616632" w:rsidRPr="003213D5" w:rsidRDefault="002B49D3" w:rsidP="00081F4C">
      <w:pPr>
        <w:ind w:left="426" w:right="-24"/>
        <w:jc w:val="both"/>
        <w:rPr>
          <w:rFonts w:asciiTheme="minorHAnsi" w:hAnsiTheme="minorHAnsi" w:cstheme="minorHAnsi"/>
        </w:rPr>
      </w:pPr>
      <w:hyperlink r:id="rId9" w:history="1">
        <w:r w:rsidR="00616632" w:rsidRPr="00965220">
          <w:rPr>
            <w:rStyle w:val="Hypertextovodkaz"/>
            <w:rFonts w:asciiTheme="minorHAnsi" w:hAnsiTheme="minorHAnsi" w:cstheme="minorHAnsi"/>
            <w:color w:val="auto"/>
            <w:highlight w:val="yellow"/>
          </w:rPr>
          <w:t>https://irop.gov.cz/cs/irop-2021-2027/dokumenty</w:t>
        </w:r>
      </w:hyperlink>
      <w:r w:rsidR="00616632" w:rsidRPr="00D569D1">
        <w:rPr>
          <w:rFonts w:asciiTheme="minorHAnsi" w:hAnsiTheme="minorHAnsi" w:cstheme="minorHAnsi"/>
          <w:b/>
        </w:rPr>
        <w:t xml:space="preserve"> </w:t>
      </w:r>
      <w:r w:rsidR="00062A0D" w:rsidRPr="00D569D1">
        <w:rPr>
          <w:rFonts w:asciiTheme="minorHAnsi" w:hAnsiTheme="minorHAnsi" w:cstheme="minorHAnsi"/>
        </w:rPr>
        <w:t>-</w:t>
      </w:r>
      <w:r w:rsidR="00062A0D">
        <w:rPr>
          <w:rFonts w:asciiTheme="minorHAnsi" w:hAnsiTheme="minorHAnsi" w:cstheme="minorHAnsi"/>
        </w:rPr>
        <w:t xml:space="preserve"> část </w:t>
      </w:r>
      <w:r w:rsidR="00616632" w:rsidRPr="00616632">
        <w:rPr>
          <w:rFonts w:asciiTheme="minorHAnsi" w:hAnsiTheme="minorHAnsi" w:cstheme="minorHAnsi"/>
        </w:rPr>
        <w:t>Implementace zásady „významně nepoškozovat“ životní prostředí (DNSH) v projektech IROP 2021-2027</w:t>
      </w:r>
      <w:r w:rsidR="001B20C5">
        <w:rPr>
          <w:rFonts w:asciiTheme="minorHAnsi" w:hAnsiTheme="minorHAnsi" w:cstheme="minorHAnsi"/>
        </w:rPr>
        <w:t>.</w:t>
      </w:r>
    </w:p>
    <w:sectPr w:rsidR="00616632" w:rsidRPr="003213D5" w:rsidSect="00F30D2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978" w:rsidRDefault="000D1978">
      <w:r>
        <w:separator/>
      </w:r>
    </w:p>
  </w:endnote>
  <w:endnote w:type="continuationSeparator" w:id="0">
    <w:p w:rsidR="000D1978" w:rsidRDefault="000D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B49D3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2B49D3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978" w:rsidRDefault="000D1978">
      <w:r>
        <w:separator/>
      </w:r>
    </w:p>
  </w:footnote>
  <w:footnote w:type="continuationSeparator" w:id="0">
    <w:p w:rsidR="000D1978" w:rsidRDefault="000D1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91D85" w:rsidRDefault="00391D85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  <w:p w:rsidR="002B49D3" w:rsidRPr="00391D85" w:rsidRDefault="002B49D3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:rsidR="00391D85" w:rsidRDefault="00391D85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  <w:p w:rsidR="002B49D3" w:rsidRPr="00391D85" w:rsidRDefault="002B49D3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2A0D"/>
    <w:rsid w:val="00063239"/>
    <w:rsid w:val="00081F4C"/>
    <w:rsid w:val="0009310A"/>
    <w:rsid w:val="000A19EA"/>
    <w:rsid w:val="000B2879"/>
    <w:rsid w:val="000C3A82"/>
    <w:rsid w:val="000C6D36"/>
    <w:rsid w:val="000D0369"/>
    <w:rsid w:val="000D1764"/>
    <w:rsid w:val="000D1978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47B46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B20C5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B49D3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31C1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57291"/>
    <w:rsid w:val="00471643"/>
    <w:rsid w:val="004750A2"/>
    <w:rsid w:val="00477C21"/>
    <w:rsid w:val="0048250F"/>
    <w:rsid w:val="00486026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489D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1FE8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1370B"/>
    <w:rsid w:val="00616632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64448"/>
    <w:rsid w:val="00674178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0B12"/>
    <w:rsid w:val="006E437F"/>
    <w:rsid w:val="006F593D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5BB8"/>
    <w:rsid w:val="0087653A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65220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0717B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A5A05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76583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23854"/>
    <w:rsid w:val="00C45A03"/>
    <w:rsid w:val="00C5204E"/>
    <w:rsid w:val="00C52297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C1A24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569D1"/>
    <w:rsid w:val="00D7166E"/>
    <w:rsid w:val="00D723B1"/>
    <w:rsid w:val="00D86C85"/>
    <w:rsid w:val="00D96192"/>
    <w:rsid w:val="00D97485"/>
    <w:rsid w:val="00DA4378"/>
    <w:rsid w:val="00DB0580"/>
    <w:rsid w:val="00DB4D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04901"/>
    <w:rsid w:val="00F1100C"/>
    <w:rsid w:val="00F1379D"/>
    <w:rsid w:val="00F1611A"/>
    <w:rsid w:val="00F24C82"/>
    <w:rsid w:val="00F30D23"/>
    <w:rsid w:val="00F371F4"/>
    <w:rsid w:val="00F410A4"/>
    <w:rsid w:val="00F41F12"/>
    <w:rsid w:val="00F44EF4"/>
    <w:rsid w:val="00F45F0C"/>
    <w:rsid w:val="00F528ED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B8EB50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gov.cz/cs/vyzvy-2021-2027/vyzvy/58vyzvairo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rop.gov.cz/cs/irop-2021-2027/dokument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03C40-CE31-4290-A6B3-3ED90873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1299</Words>
  <Characters>8219</Characters>
  <Application>Microsoft Office Word</Application>
  <DocSecurity>0</DocSecurity>
  <Lines>68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9500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Ištvánek Roman Ing.</cp:lastModifiedBy>
  <cp:revision>15</cp:revision>
  <cp:lastPrinted>2024-10-09T06:45:00Z</cp:lastPrinted>
  <dcterms:created xsi:type="dcterms:W3CDTF">2024-10-15T09:32:00Z</dcterms:created>
  <dcterms:modified xsi:type="dcterms:W3CDTF">2025-04-08T10:46:00Z</dcterms:modified>
</cp:coreProperties>
</file>