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2D97827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787E01"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38A453CE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4244D0">
        <w:rPr>
          <w:rFonts w:ascii="Calibri" w:hAnsi="Calibri"/>
          <w:b/>
          <w:bCs/>
          <w:sz w:val="22"/>
          <w:szCs w:val="22"/>
        </w:rPr>
        <w:t>Litomyšlské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BC2653">
        <w:rPr>
          <w:rFonts w:ascii="Calibri" w:hAnsi="Calibri"/>
          <w:b/>
          <w:bCs/>
          <w:sz w:val="22"/>
          <w:szCs w:val="22"/>
        </w:rPr>
        <w:t>pečivo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1898AEFB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Výsledkem výše uvedené veřejné zakázky je uzavření této rámcové dohody s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/se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BC2653"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  <w:r w:rsidR="00BC265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pečiva/</w:t>
      </w:r>
      <w:r w:rsidR="00CB79C6">
        <w:rPr>
          <w:rFonts w:ascii="Calibri" w:hAnsi="Calibri" w:cs="Calibri"/>
          <w:sz w:val="22"/>
          <w:szCs w:val="22"/>
        </w:rPr>
        <w:t>pekárenských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25745EF1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BD57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Litomyšlské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5E6EC2E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409674E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vyčerpání 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finančního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limitu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58E9F414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93392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700</w:t>
      </w:r>
      <w:r w:rsid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BC2653" w:rsidRP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269D73C4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18702E0B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7DFAC3C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0E3AD840" w:rsidR="00FF16F5" w:rsidRPr="00715E06" w:rsidRDefault="00E6598D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877EC8">
        <w:rPr>
          <w:rFonts w:ascii="Calibri" w:hAnsi="Calibri" w:cs="Calibri"/>
          <w:b/>
          <w:bCs/>
          <w:sz w:val="22"/>
          <w:szCs w:val="22"/>
        </w:rPr>
        <w:t>Litomyšlsk</w:t>
      </w:r>
      <w:r>
        <w:rPr>
          <w:rFonts w:ascii="Calibri" w:hAnsi="Calibri" w:cs="Calibri"/>
          <w:b/>
          <w:bCs/>
          <w:sz w:val="22"/>
          <w:szCs w:val="22"/>
        </w:rPr>
        <w:t>á</w:t>
      </w:r>
      <w:r w:rsidRPr="00877EC8">
        <w:rPr>
          <w:rFonts w:ascii="Calibri" w:hAnsi="Calibri"/>
          <w:b/>
          <w:bCs/>
          <w:sz w:val="22"/>
          <w:szCs w:val="22"/>
        </w:rPr>
        <w:t xml:space="preserve"> </w:t>
      </w:r>
      <w:r w:rsidRPr="00A769C5">
        <w:rPr>
          <w:rFonts w:ascii="Calibri" w:hAnsi="Calibri"/>
          <w:b/>
          <w:sz w:val="22"/>
          <w:szCs w:val="22"/>
        </w:rPr>
        <w:t>nemocnice</w:t>
      </w:r>
      <w:r w:rsidRPr="005F7369">
        <w:rPr>
          <w:rFonts w:ascii="Calibri" w:hAnsi="Calibri" w:cs="Arial"/>
          <w:b/>
          <w:bCs/>
          <w:sz w:val="22"/>
          <w:szCs w:val="22"/>
        </w:rPr>
        <w:t xml:space="preserve">, </w:t>
      </w:r>
      <w:r>
        <w:rPr>
          <w:rFonts w:ascii="Calibri" w:hAnsi="Calibri" w:cs="Arial"/>
          <w:b/>
          <w:bCs/>
          <w:sz w:val="22"/>
          <w:szCs w:val="22"/>
        </w:rPr>
        <w:t>J. E. Purkyně 652, 570 14 Litomyšl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49DB1A9" w14:textId="36FE169D" w:rsidR="00567D13" w:rsidRPr="00567D13" w:rsidRDefault="00567D13" w:rsidP="00567D13">
      <w:pPr>
        <w:tabs>
          <w:tab w:val="left" w:pos="567"/>
        </w:tabs>
        <w:spacing w:after="6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2.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Příjem dodávek/závozu zboží v místě plnění:</w:t>
      </w:r>
    </w:p>
    <w:p w14:paraId="2DEF9273" w14:textId="566D3DC8" w:rsidR="00FF16F5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Závozy zboží na místo plnění budou realizovány na základě objednávek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od pondělí do soboty, nebo na základě oboustranné dohody i v neděli, vždy nejpozději do 6:00 hod. v den dodávky.</w:t>
      </w:r>
    </w:p>
    <w:p w14:paraId="135DA7A1" w14:textId="49EE790D" w:rsidR="00567D13" w:rsidRPr="00567D13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Dodávka konkrétního zboží může být upřesněna v konkrétní objednávce nebo na základě dohody zadavatele s dodavatelem.</w:t>
      </w:r>
    </w:p>
    <w:p w14:paraId="7EBB4F1F" w14:textId="28C33D72" w:rsidR="001B48D9" w:rsidRPr="001B48D9" w:rsidRDefault="00567D13" w:rsidP="00567D13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3. 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ab/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 w:rsidR="00FF16F5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="00FF16F5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  <w:bookmarkStart w:id="1" w:name="_Hlk191912258"/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40DCA645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 xml:space="preserve">typu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F6934">
        <w:rPr>
          <w:rFonts w:ascii="Calibri" w:hAnsi="Calibri" w:cs="Calibri"/>
          <w:sz w:val="22"/>
          <w:szCs w:val="22"/>
        </w:rPr>
        <w:t>pečiva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>dle aktuální potřeby kupujícího</w:t>
      </w:r>
      <w:r w:rsidR="008736AB">
        <w:rPr>
          <w:rFonts w:ascii="Calibri" w:hAnsi="Calibri" w:cs="Calibri"/>
          <w:sz w:val="22"/>
          <w:szCs w:val="22"/>
        </w:rPr>
        <w:t>, příp. včetně termínu dodání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bez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5F89811B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3D707E">
        <w:rPr>
          <w:rFonts w:ascii="Calibri" w:hAnsi="Calibri" w:cs="Calibri"/>
          <w:b/>
          <w:bCs/>
          <w:sz w:val="22"/>
          <w:szCs w:val="22"/>
        </w:rPr>
        <w:t>Litomyšlská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351079E6" w:rsidR="00E95569" w:rsidRPr="008736AB" w:rsidRDefault="00E95569" w:rsidP="008736A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1E63F9DC" w14:textId="06C37D82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eastAsia="Tahoma" w:hAnsi="Calibri" w:cs="Calibri"/>
          <w:bCs/>
          <w:sz w:val="22"/>
          <w:szCs w:val="22"/>
        </w:rPr>
        <w:t>Nebalený výrobek: chleba min.2 dny; běžné pečivo min. 1 den; jemné pečivo min. 1 den; cukrářské výrobky min. 7 dnů</w:t>
      </w:r>
      <w:r w:rsidR="00200EC8" w:rsidRPr="00200EC8">
        <w:rPr>
          <w:rFonts w:ascii="Calibri" w:eastAsia="Tahoma" w:hAnsi="Calibri" w:cs="Calibri"/>
          <w:bCs/>
          <w:sz w:val="22"/>
          <w:szCs w:val="22"/>
        </w:rPr>
        <w:t>.</w:t>
      </w:r>
    </w:p>
    <w:p w14:paraId="7C753779" w14:textId="77777777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hAnsi="Calibri" w:cs="Calibri"/>
          <w:sz w:val="22"/>
          <w:szCs w:val="22"/>
        </w:rPr>
        <w:t xml:space="preserve">Balený výrobek: </w:t>
      </w:r>
      <w:r w:rsidRPr="00200EC8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 odběratelem v místě určení.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1263AF9A" w:rsidR="00A30161" w:rsidRPr="0080615D" w:rsidRDefault="003937D6" w:rsidP="005C62E7">
      <w:pPr>
        <w:pStyle w:val="Odstavecseseznamem"/>
        <w:widowControl w:val="0"/>
        <w:numPr>
          <w:ilvl w:val="0"/>
          <w:numId w:val="45"/>
        </w:numPr>
        <w:tabs>
          <w:tab w:val="left" w:pos="567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platnosti smlouvy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2DBBE360" w:rsidR="00385276" w:rsidRPr="007D30E4" w:rsidRDefault="006A36A9" w:rsidP="005C62E7">
      <w:pPr>
        <w:pStyle w:val="Odstavecseseznamem"/>
        <w:widowControl w:val="0"/>
        <w:numPr>
          <w:ilvl w:val="0"/>
          <w:numId w:val="45"/>
        </w:numPr>
        <w:tabs>
          <w:tab w:val="left" w:pos="1134"/>
          <w:tab w:val="left" w:pos="1276"/>
        </w:tabs>
        <w:suppressAutoHyphens/>
        <w:spacing w:after="60"/>
        <w:ind w:left="992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</w:t>
      </w:r>
      <w:r w:rsidR="005C62E7">
        <w:rPr>
          <w:rFonts w:ascii="Calibri" w:hAnsi="Calibri" w:cs="Calibri"/>
          <w:sz w:val="22"/>
          <w:szCs w:val="22"/>
        </w:rPr>
        <w:t>.</w:t>
      </w:r>
    </w:p>
    <w:p w14:paraId="3132EF91" w14:textId="0C06490F" w:rsidR="006A36A9" w:rsidRPr="00D15C80" w:rsidRDefault="00261371" w:rsidP="005C62E7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5C62E7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48A0FB09" w14:textId="77777777" w:rsidR="005C62E7" w:rsidRDefault="009A5957" w:rsidP="005C62E7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6A4ED937" w14:textId="018DBBBC" w:rsidR="0080615D" w:rsidRPr="005C62E7" w:rsidRDefault="005C62E7" w:rsidP="005C62E7">
      <w:pPr>
        <w:widowControl w:val="0"/>
        <w:tabs>
          <w:tab w:val="left" w:pos="567"/>
          <w:tab w:val="left" w:pos="993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2ED4E347" w:rsidR="00E3646E" w:rsidRPr="009A5957" w:rsidRDefault="005C62E7" w:rsidP="005C62E7">
      <w:pPr>
        <w:widowControl w:val="0"/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sz w:val="22"/>
          <w:szCs w:val="22"/>
        </w:rPr>
        <w:tab/>
      </w:r>
      <w:r w:rsidR="00E3646E"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="00E3646E"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5C62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05EECC6E" w14:textId="668EE204" w:rsidR="003E5E2B" w:rsidRDefault="00E40C2E" w:rsidP="005C62E7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FCA239A"/>
    <w:multiLevelType w:val="hybridMultilevel"/>
    <w:tmpl w:val="E7707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914E2"/>
    <w:multiLevelType w:val="hybridMultilevel"/>
    <w:tmpl w:val="232E1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5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2"/>
  </w:num>
  <w:num w:numId="3" w16cid:durableId="263803639">
    <w:abstractNumId w:val="35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8"/>
  </w:num>
  <w:num w:numId="8" w16cid:durableId="335310072">
    <w:abstractNumId w:val="44"/>
  </w:num>
  <w:num w:numId="9" w16cid:durableId="459881775">
    <w:abstractNumId w:val="7"/>
  </w:num>
  <w:num w:numId="10" w16cid:durableId="112864328">
    <w:abstractNumId w:val="36"/>
  </w:num>
  <w:num w:numId="11" w16cid:durableId="672530888">
    <w:abstractNumId w:val="16"/>
  </w:num>
  <w:num w:numId="12" w16cid:durableId="1121800178">
    <w:abstractNumId w:val="33"/>
  </w:num>
  <w:num w:numId="13" w16cid:durableId="755589880">
    <w:abstractNumId w:val="25"/>
  </w:num>
  <w:num w:numId="14" w16cid:durableId="1041631309">
    <w:abstractNumId w:val="37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4"/>
  </w:num>
  <w:num w:numId="18" w16cid:durableId="1518693181">
    <w:abstractNumId w:val="11"/>
  </w:num>
  <w:num w:numId="19" w16cid:durableId="1481314399">
    <w:abstractNumId w:val="29"/>
  </w:num>
  <w:num w:numId="20" w16cid:durableId="1302274458">
    <w:abstractNumId w:val="5"/>
  </w:num>
  <w:num w:numId="21" w16cid:durableId="1225525725">
    <w:abstractNumId w:val="24"/>
  </w:num>
  <w:num w:numId="22" w16cid:durableId="1528375619">
    <w:abstractNumId w:val="41"/>
  </w:num>
  <w:num w:numId="23" w16cid:durableId="8899182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1"/>
  </w:num>
  <w:num w:numId="25" w16cid:durableId="666554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3"/>
  </w:num>
  <w:num w:numId="27" w16cid:durableId="641008202">
    <w:abstractNumId w:val="40"/>
  </w:num>
  <w:num w:numId="28" w16cid:durableId="335309410">
    <w:abstractNumId w:val="20"/>
  </w:num>
  <w:num w:numId="29" w16cid:durableId="1355960802">
    <w:abstractNumId w:val="26"/>
  </w:num>
  <w:num w:numId="30" w16cid:durableId="1132753357">
    <w:abstractNumId w:val="17"/>
  </w:num>
  <w:num w:numId="31" w16cid:durableId="1066492099">
    <w:abstractNumId w:val="6"/>
  </w:num>
  <w:num w:numId="32" w16cid:durableId="2145274304">
    <w:abstractNumId w:val="39"/>
  </w:num>
  <w:num w:numId="33" w16cid:durableId="1153330969">
    <w:abstractNumId w:val="4"/>
  </w:num>
  <w:num w:numId="34" w16cid:durableId="1040056833">
    <w:abstractNumId w:val="46"/>
  </w:num>
  <w:num w:numId="35" w16cid:durableId="1430392172">
    <w:abstractNumId w:val="22"/>
  </w:num>
  <w:num w:numId="36" w16cid:durableId="988367909">
    <w:abstractNumId w:val="12"/>
  </w:num>
  <w:num w:numId="37" w16cid:durableId="1821381641">
    <w:abstractNumId w:val="30"/>
  </w:num>
  <w:num w:numId="38" w16cid:durableId="1702435417">
    <w:abstractNumId w:val="31"/>
  </w:num>
  <w:num w:numId="39" w16cid:durableId="1513374904">
    <w:abstractNumId w:val="8"/>
  </w:num>
  <w:num w:numId="40" w16cid:durableId="300772053">
    <w:abstractNumId w:val="45"/>
  </w:num>
  <w:num w:numId="41" w16cid:durableId="311833282">
    <w:abstractNumId w:val="9"/>
  </w:num>
  <w:num w:numId="42" w16cid:durableId="2089502265">
    <w:abstractNumId w:val="19"/>
  </w:num>
  <w:num w:numId="43" w16cid:durableId="1434285717">
    <w:abstractNumId w:val="2"/>
  </w:num>
  <w:num w:numId="44" w16cid:durableId="1668746409">
    <w:abstractNumId w:val="38"/>
  </w:num>
  <w:num w:numId="45" w16cid:durableId="1281183898">
    <w:abstractNumId w:val="32"/>
  </w:num>
  <w:num w:numId="46" w16cid:durableId="1095857855">
    <w:abstractNumId w:val="23"/>
  </w:num>
  <w:num w:numId="47" w16cid:durableId="416443797">
    <w:abstractNumId w:val="15"/>
  </w:num>
  <w:num w:numId="48" w16cid:durableId="8467509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231D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0EC8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D707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248F"/>
    <w:rsid w:val="004244D0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09F7"/>
    <w:rsid w:val="00476EFC"/>
    <w:rsid w:val="00480630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4F6934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67D13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C62E7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87E01"/>
    <w:rsid w:val="00795A37"/>
    <w:rsid w:val="00796E72"/>
    <w:rsid w:val="007A42E8"/>
    <w:rsid w:val="007A4D3C"/>
    <w:rsid w:val="007A5580"/>
    <w:rsid w:val="007A5BF6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58E5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6AB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6F3D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92B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2653"/>
    <w:rsid w:val="00BC3994"/>
    <w:rsid w:val="00BC5379"/>
    <w:rsid w:val="00BC642D"/>
    <w:rsid w:val="00BC7694"/>
    <w:rsid w:val="00BD5717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B79C6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4B05"/>
    <w:rsid w:val="00D15C80"/>
    <w:rsid w:val="00D1662A"/>
    <w:rsid w:val="00D16900"/>
    <w:rsid w:val="00D1760F"/>
    <w:rsid w:val="00D31BF4"/>
    <w:rsid w:val="00D350A6"/>
    <w:rsid w:val="00D452B2"/>
    <w:rsid w:val="00D5390E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598D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17D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76B0F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2301</TotalTime>
  <Pages>10</Pages>
  <Words>3435</Words>
  <Characters>20269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56</cp:revision>
  <cp:lastPrinted>2018-10-01T07:59:00Z</cp:lastPrinted>
  <dcterms:created xsi:type="dcterms:W3CDTF">2022-02-09T13:00:00Z</dcterms:created>
  <dcterms:modified xsi:type="dcterms:W3CDTF">2025-04-02T15:09:00Z</dcterms:modified>
</cp:coreProperties>
</file>