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15BBEB9B" w:rsidR="00B31C7D" w:rsidRPr="00274AE3" w:rsidRDefault="00B31C7D" w:rsidP="00274AE3">
      <w:pPr>
        <w:spacing w:after="240" w:line="360" w:lineRule="auto"/>
        <w:ind w:left="2832" w:hanging="2832"/>
        <w:rPr>
          <w:b/>
          <w:noProof/>
          <w:sz w:val="22"/>
          <w:szCs w:val="22"/>
        </w:rPr>
      </w:pPr>
      <w:r w:rsidRPr="00203633">
        <w:rPr>
          <w:b/>
        </w:rPr>
        <w:t>Název veřejné zakázky:</w:t>
      </w:r>
      <w:r w:rsidRPr="00203633">
        <w:rPr>
          <w:b/>
        </w:rPr>
        <w:tab/>
      </w:r>
      <w:r w:rsidR="00274AE3" w:rsidRPr="00274AE3">
        <w:rPr>
          <w:b/>
          <w:noProof/>
          <w:sz w:val="22"/>
          <w:szCs w:val="22"/>
        </w:rPr>
        <w:t>„Nákup hudebních nástrojů pro potřeby Konzervatoře Pardubice“ Část 5 - Dodávka "A" klarinetu a "B/F" trombonu – nové vypsání</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33D58AEC" w14:textId="77777777" w:rsidR="00203633" w:rsidRPr="00203633" w:rsidRDefault="00203633" w:rsidP="00203633">
      <w:pPr>
        <w:spacing w:before="0" w:line="276" w:lineRule="auto"/>
        <w:jc w:val="right"/>
        <w:rPr>
          <w:rFonts w:eastAsia="Calibri"/>
          <w:szCs w:val="28"/>
          <w:lang w:eastAsia="en-US"/>
        </w:rPr>
      </w:pPr>
      <w:r w:rsidRPr="00203633">
        <w:rPr>
          <w:rFonts w:eastAsia="Calibri"/>
          <w:szCs w:val="28"/>
          <w:lang w:eastAsia="en-US"/>
        </w:rPr>
        <w:t>Razítko a podpis oprávněné</w:t>
      </w:r>
    </w:p>
    <w:p w14:paraId="1146438A" w14:textId="223F45A5" w:rsidR="00D14FE0" w:rsidRPr="00203633" w:rsidRDefault="00203633" w:rsidP="00203633">
      <w:pPr>
        <w:spacing w:before="0" w:line="276" w:lineRule="auto"/>
        <w:jc w:val="right"/>
        <w:rPr>
          <w:szCs w:val="28"/>
        </w:rPr>
      </w:pPr>
      <w:r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555D7" w14:textId="77777777" w:rsidR="001215BC" w:rsidRDefault="001215BC">
      <w:r>
        <w:separator/>
      </w:r>
    </w:p>
  </w:endnote>
  <w:endnote w:type="continuationSeparator" w:id="0">
    <w:p w14:paraId="564642E4" w14:textId="77777777" w:rsidR="001215BC" w:rsidRDefault="0012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90A7" w14:textId="77777777" w:rsidR="001215BC" w:rsidRDefault="001215BC">
      <w:r>
        <w:separator/>
      </w:r>
    </w:p>
  </w:footnote>
  <w:footnote w:type="continuationSeparator" w:id="0">
    <w:p w14:paraId="71AB8B4F" w14:textId="77777777" w:rsidR="001215BC" w:rsidRDefault="00121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051153BF" w:rsidR="00A72A72" w:rsidRPr="00203633" w:rsidRDefault="00696385" w:rsidP="00274AE3">
    <w:pPr>
      <w:pStyle w:val="Zhlav"/>
      <w:spacing w:before="0" w:line="276" w:lineRule="auto"/>
      <w:rPr>
        <w:bCs/>
        <w:sz w:val="21"/>
        <w:szCs w:val="28"/>
      </w:rPr>
    </w:pPr>
    <w:r w:rsidRPr="00203633">
      <w:rPr>
        <w:bCs/>
        <w:sz w:val="21"/>
        <w:szCs w:val="28"/>
      </w:rPr>
      <w:t xml:space="preserve">Příloha č. </w:t>
    </w:r>
    <w:r w:rsidR="00903F7E">
      <w:rPr>
        <w:bCs/>
        <w:sz w:val="21"/>
        <w:szCs w:val="28"/>
      </w:rPr>
      <w:t>8</w:t>
    </w:r>
    <w:r w:rsidR="00D83C3E" w:rsidRPr="00203633">
      <w:rPr>
        <w:bCs/>
        <w:sz w:val="21"/>
        <w:szCs w:val="28"/>
      </w:rPr>
      <w:t xml:space="preserve"> </w:t>
    </w:r>
    <w:r w:rsidR="00203633">
      <w:rPr>
        <w:bCs/>
        <w:sz w:val="21"/>
        <w:szCs w:val="28"/>
      </w:rPr>
      <w:t xml:space="preserve">zadávací dokumentace k VZ </w:t>
    </w:r>
    <w:r w:rsidR="00274AE3" w:rsidRPr="00274AE3">
      <w:rPr>
        <w:bCs/>
        <w:sz w:val="21"/>
        <w:szCs w:val="28"/>
      </w:rPr>
      <w:t>„Nákup hudebních nástrojů pro potřeby Konzervatoře Pardubice“ Část 5 - Dodávka "A" klarinetu a "B/F" trombonu – nové vypsání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4025"/>
    <w:rsid w:val="00075AC6"/>
    <w:rsid w:val="00081B93"/>
    <w:rsid w:val="000A1062"/>
    <w:rsid w:val="000A57E0"/>
    <w:rsid w:val="000E192B"/>
    <w:rsid w:val="00102669"/>
    <w:rsid w:val="001215BC"/>
    <w:rsid w:val="00125B02"/>
    <w:rsid w:val="00157277"/>
    <w:rsid w:val="00165D51"/>
    <w:rsid w:val="00165F17"/>
    <w:rsid w:val="0019479E"/>
    <w:rsid w:val="001A43FA"/>
    <w:rsid w:val="001F6D2D"/>
    <w:rsid w:val="00203633"/>
    <w:rsid w:val="00227D46"/>
    <w:rsid w:val="002346BE"/>
    <w:rsid w:val="00244022"/>
    <w:rsid w:val="00246293"/>
    <w:rsid w:val="00271CF4"/>
    <w:rsid w:val="002739F5"/>
    <w:rsid w:val="00274AE3"/>
    <w:rsid w:val="00285C46"/>
    <w:rsid w:val="002A3444"/>
    <w:rsid w:val="002B20C4"/>
    <w:rsid w:val="002D13BC"/>
    <w:rsid w:val="00372B46"/>
    <w:rsid w:val="00373E1C"/>
    <w:rsid w:val="003774D9"/>
    <w:rsid w:val="003821C1"/>
    <w:rsid w:val="003B4B65"/>
    <w:rsid w:val="003B4FAE"/>
    <w:rsid w:val="003D33C6"/>
    <w:rsid w:val="003D659F"/>
    <w:rsid w:val="003E3A9C"/>
    <w:rsid w:val="003F1699"/>
    <w:rsid w:val="00451E84"/>
    <w:rsid w:val="00461096"/>
    <w:rsid w:val="00472B06"/>
    <w:rsid w:val="00495FC2"/>
    <w:rsid w:val="004A1F88"/>
    <w:rsid w:val="004C4DEA"/>
    <w:rsid w:val="004D06D4"/>
    <w:rsid w:val="00521389"/>
    <w:rsid w:val="00556F23"/>
    <w:rsid w:val="005802C6"/>
    <w:rsid w:val="005922F4"/>
    <w:rsid w:val="005929FE"/>
    <w:rsid w:val="00594F18"/>
    <w:rsid w:val="005B098A"/>
    <w:rsid w:val="005B690A"/>
    <w:rsid w:val="005C7116"/>
    <w:rsid w:val="005D4E34"/>
    <w:rsid w:val="005F0751"/>
    <w:rsid w:val="006310E3"/>
    <w:rsid w:val="00631C52"/>
    <w:rsid w:val="006447B8"/>
    <w:rsid w:val="00696385"/>
    <w:rsid w:val="006D7D98"/>
    <w:rsid w:val="0070077E"/>
    <w:rsid w:val="0070202E"/>
    <w:rsid w:val="00720730"/>
    <w:rsid w:val="00725496"/>
    <w:rsid w:val="00730BEE"/>
    <w:rsid w:val="00760FF6"/>
    <w:rsid w:val="007762AD"/>
    <w:rsid w:val="00791826"/>
    <w:rsid w:val="00802373"/>
    <w:rsid w:val="00833181"/>
    <w:rsid w:val="00842205"/>
    <w:rsid w:val="00877FD7"/>
    <w:rsid w:val="00883EDC"/>
    <w:rsid w:val="008A1AAC"/>
    <w:rsid w:val="008A36F7"/>
    <w:rsid w:val="008C7944"/>
    <w:rsid w:val="008D7225"/>
    <w:rsid w:val="00903F7E"/>
    <w:rsid w:val="00914D9A"/>
    <w:rsid w:val="00916778"/>
    <w:rsid w:val="009203E7"/>
    <w:rsid w:val="009259F9"/>
    <w:rsid w:val="00940325"/>
    <w:rsid w:val="00963AB0"/>
    <w:rsid w:val="00963D77"/>
    <w:rsid w:val="00970C03"/>
    <w:rsid w:val="00972049"/>
    <w:rsid w:val="00986C44"/>
    <w:rsid w:val="00993A66"/>
    <w:rsid w:val="009D2BFE"/>
    <w:rsid w:val="009E7FBE"/>
    <w:rsid w:val="00A24D5F"/>
    <w:rsid w:val="00A34676"/>
    <w:rsid w:val="00A53F9E"/>
    <w:rsid w:val="00A63241"/>
    <w:rsid w:val="00A66A0A"/>
    <w:rsid w:val="00A70BA6"/>
    <w:rsid w:val="00A72A72"/>
    <w:rsid w:val="00A74173"/>
    <w:rsid w:val="00A9613C"/>
    <w:rsid w:val="00AB6B35"/>
    <w:rsid w:val="00AC4D54"/>
    <w:rsid w:val="00AD7674"/>
    <w:rsid w:val="00AE5859"/>
    <w:rsid w:val="00B05A31"/>
    <w:rsid w:val="00B31C7D"/>
    <w:rsid w:val="00B6344C"/>
    <w:rsid w:val="00B66E8D"/>
    <w:rsid w:val="00B7532C"/>
    <w:rsid w:val="00B75A07"/>
    <w:rsid w:val="00BC15E9"/>
    <w:rsid w:val="00BC2CFF"/>
    <w:rsid w:val="00BC4710"/>
    <w:rsid w:val="00BD7F89"/>
    <w:rsid w:val="00BE36D3"/>
    <w:rsid w:val="00BF56BF"/>
    <w:rsid w:val="00BF5CE9"/>
    <w:rsid w:val="00C00F57"/>
    <w:rsid w:val="00C127E0"/>
    <w:rsid w:val="00C26F4F"/>
    <w:rsid w:val="00C521A0"/>
    <w:rsid w:val="00C63B9B"/>
    <w:rsid w:val="00C64F59"/>
    <w:rsid w:val="00C826CF"/>
    <w:rsid w:val="00CA7055"/>
    <w:rsid w:val="00CB18F6"/>
    <w:rsid w:val="00CC2A56"/>
    <w:rsid w:val="00CE6F4B"/>
    <w:rsid w:val="00CF0986"/>
    <w:rsid w:val="00D14FE0"/>
    <w:rsid w:val="00D17814"/>
    <w:rsid w:val="00D539F8"/>
    <w:rsid w:val="00D83C3E"/>
    <w:rsid w:val="00D849D5"/>
    <w:rsid w:val="00D86A8A"/>
    <w:rsid w:val="00D977E7"/>
    <w:rsid w:val="00DC6B47"/>
    <w:rsid w:val="00DD747C"/>
    <w:rsid w:val="00E05A9A"/>
    <w:rsid w:val="00E21492"/>
    <w:rsid w:val="00E2287E"/>
    <w:rsid w:val="00E30A5B"/>
    <w:rsid w:val="00E56321"/>
    <w:rsid w:val="00E90055"/>
    <w:rsid w:val="00EA5803"/>
    <w:rsid w:val="00EB1BAC"/>
    <w:rsid w:val="00EB5019"/>
    <w:rsid w:val="00ED00FD"/>
    <w:rsid w:val="00ED20D5"/>
    <w:rsid w:val="00ED5093"/>
    <w:rsid w:val="00ED7A8B"/>
    <w:rsid w:val="00EE7D11"/>
    <w:rsid w:val="00F02958"/>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1481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2025-02-26T10:40:00Z</dcterms:modified>
</cp:coreProperties>
</file>