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33B7348C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83751" w:rsidRPr="00E83751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</w:t>
      </w:r>
      <w:bookmarkStart w:id="0" w:name="_GoBack"/>
      <w:bookmarkEnd w:id="0"/>
      <w:r w:rsidR="00D5059E" w:rsidRPr="003D3553">
        <w:rPr>
          <w:rFonts w:asciiTheme="minorHAnsi" w:hAnsiTheme="minorHAnsi"/>
          <w:sz w:val="40"/>
          <w:szCs w:val="40"/>
        </w:rPr>
        <w:t>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06BEBC2A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918B5">
        <w:rPr>
          <w:rFonts w:asciiTheme="minorHAnsi" w:hAnsiTheme="minorHAnsi" w:cstheme="minorHAnsi"/>
        </w:rPr>
        <w:t>Celková rekonstrukce objektu č. p. 60 Bystré – sociální služby</w:t>
      </w:r>
    </w:p>
    <w:p w14:paraId="3367D799" w14:textId="62C39777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88474E">
        <w:rPr>
          <w:rFonts w:asciiTheme="minorHAnsi" w:hAnsiTheme="minorHAnsi" w:cstheme="minorHAnsi"/>
          <w:color w:val="000000"/>
          <w:shd w:val="clear" w:color="auto" w:fill="FFFFFF"/>
        </w:rPr>
        <w:t>bude doplněno</w:t>
      </w:r>
    </w:p>
    <w:p w14:paraId="2C0C085C" w14:textId="01E1FB6A" w:rsidR="009B7C21" w:rsidRPr="009B7C21" w:rsidRDefault="00624BBA" w:rsidP="009B7C21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9B7C21">
        <w:rPr>
          <w:rFonts w:asciiTheme="minorHAnsi" w:hAnsiTheme="minorHAnsi" w:cstheme="minorHAnsi"/>
        </w:rPr>
        <w:t>Národní</w:t>
      </w:r>
      <w:r w:rsidR="00DD526C" w:rsidRPr="00DD526C">
        <w:rPr>
          <w:rFonts w:asciiTheme="minorHAnsi" w:hAnsiTheme="minorHAnsi" w:cstheme="minorHAnsi"/>
        </w:rPr>
        <w:t xml:space="preserve"> plán</w:t>
      </w:r>
      <w:r w:rsidR="009B7C21">
        <w:rPr>
          <w:rFonts w:asciiTheme="minorHAnsi" w:hAnsiTheme="minorHAnsi" w:cstheme="minorHAnsi"/>
        </w:rPr>
        <w:t xml:space="preserve"> obnovy, </w:t>
      </w:r>
      <w:r w:rsidR="00DD526C" w:rsidRPr="00DD526C">
        <w:rPr>
          <w:rFonts w:asciiTheme="minorHAnsi" w:hAnsiTheme="minorHAnsi" w:cstheme="minorHAnsi"/>
        </w:rPr>
        <w:t xml:space="preserve"> </w:t>
      </w:r>
      <w:r w:rsidR="009B7C21">
        <w:rPr>
          <w:rFonts w:asciiTheme="minorHAnsi" w:hAnsiTheme="minorHAnsi" w:cstheme="minorHAnsi"/>
        </w:rPr>
        <w:t>komponenta</w:t>
      </w:r>
      <w:r w:rsidR="009B7C21" w:rsidRPr="009B7C21">
        <w:rPr>
          <w:rFonts w:asciiTheme="minorHAnsi" w:hAnsiTheme="minorHAnsi" w:cstheme="minorHAnsi"/>
        </w:rPr>
        <w:t xml:space="preserve"> 3.3 </w:t>
      </w:r>
    </w:p>
    <w:p w14:paraId="65CE0A90" w14:textId="2C9F1D42" w:rsidR="007918B5" w:rsidRDefault="007918B5" w:rsidP="00A10E9F">
      <w:pPr>
        <w:ind w:right="-24"/>
        <w:rPr>
          <w:rFonts w:asciiTheme="minorHAnsi" w:hAnsiTheme="minorHAnsi" w:cstheme="minorHAnsi"/>
        </w:rPr>
      </w:pPr>
      <w:r w:rsidRPr="007918B5">
        <w:rPr>
          <w:rFonts w:asciiTheme="minorHAnsi" w:hAnsiTheme="minorHAnsi" w:cstheme="minorHAnsi"/>
        </w:rPr>
        <w:t>Zvyšování kapacit služeb sociálního poradenství a služeb sociální prevence</w:t>
      </w:r>
    </w:p>
    <w:p w14:paraId="0AFA3CB7" w14:textId="32B506AE" w:rsidR="009B7C21" w:rsidRDefault="00745065" w:rsidP="00A10E9F">
      <w:pPr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Poskytovatel podpory</w:t>
      </w:r>
      <w:r w:rsidR="00A57ABF" w:rsidRPr="003213D5">
        <w:rPr>
          <w:rFonts w:asciiTheme="minorHAnsi" w:hAnsiTheme="minorHAnsi" w:cstheme="minorHAnsi"/>
          <w:b/>
        </w:rPr>
        <w:t xml:space="preserve">: </w:t>
      </w:r>
      <w:r w:rsidR="009B7C21" w:rsidRPr="009B7C21">
        <w:rPr>
          <w:rFonts w:asciiTheme="minorHAnsi" w:hAnsiTheme="minorHAnsi" w:cstheme="minorHAnsi"/>
        </w:rPr>
        <w:t>Ministerstvo práce a sociálních věcí ČR</w:t>
      </w:r>
    </w:p>
    <w:p w14:paraId="4A21EB9E" w14:textId="6A72B60E" w:rsidR="008F2822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918B5">
        <w:rPr>
          <w:rFonts w:asciiTheme="minorHAnsi" w:hAnsiTheme="minorHAnsi" w:cstheme="minorHAnsi"/>
        </w:rPr>
        <w:t>Hana Böhmová</w:t>
      </w:r>
      <w:r w:rsidRPr="003213D5">
        <w:rPr>
          <w:rFonts w:asciiTheme="minorHAnsi" w:hAnsiTheme="minorHAnsi" w:cstheme="minorHAnsi"/>
        </w:rPr>
        <w:t xml:space="preserve">, tel. </w:t>
      </w:r>
      <w:r w:rsidR="007918B5">
        <w:rPr>
          <w:rFonts w:asciiTheme="minorHAnsi" w:hAnsiTheme="minorHAnsi" w:cstheme="minorHAnsi"/>
        </w:rPr>
        <w:t>466 026 695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918B5" w:rsidRPr="00C43E11">
          <w:rPr>
            <w:rStyle w:val="Hypertextovodkaz"/>
            <w:rFonts w:asciiTheme="minorHAnsi" w:hAnsiTheme="minorHAnsi" w:cstheme="minorHAnsi"/>
          </w:rPr>
          <w:t>hana.bohmova@pardubickykraj.cz</w:t>
        </w:r>
      </w:hyperlink>
    </w:p>
    <w:p w14:paraId="4162AD10" w14:textId="77777777" w:rsidR="00745065" w:rsidRPr="003213D5" w:rsidRDefault="00745065" w:rsidP="00A10E9F">
      <w:pPr>
        <w:ind w:right="-24"/>
        <w:rPr>
          <w:rFonts w:asciiTheme="minorHAnsi" w:hAnsiTheme="minorHAnsi" w:cstheme="minorHAnsi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4EF2240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0178A95F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9B7C21">
        <w:rPr>
          <w:rFonts w:asciiTheme="minorHAnsi" w:hAnsiTheme="minorHAnsi" w:cstheme="minorHAnsi"/>
        </w:rPr>
        <w:t>Ministerstvem</w:t>
      </w:r>
      <w:r w:rsidR="009B7C21" w:rsidRPr="009B7C21">
        <w:rPr>
          <w:rFonts w:asciiTheme="minorHAnsi" w:hAnsiTheme="minorHAnsi" w:cstheme="minorHAnsi"/>
        </w:rPr>
        <w:t xml:space="preserve"> práce a sociálních věcí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5A5F178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0368C144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7918B5" w:rsidRPr="003213D5">
        <w:rPr>
          <w:rFonts w:asciiTheme="minorHAnsi" w:hAnsiTheme="minorHAnsi" w:cstheme="minorHAnsi"/>
        </w:rPr>
        <w:t>31. 12. 2035</w:t>
      </w:r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</w:t>
      </w:r>
      <w:r w:rsidR="002350BE">
        <w:rPr>
          <w:rFonts w:asciiTheme="minorHAnsi" w:hAnsiTheme="minorHAnsi" w:cstheme="minorHAnsi"/>
        </w:rPr>
        <w:t>PSV</w:t>
      </w:r>
      <w:r w:rsidRPr="003213D5">
        <w:rPr>
          <w:rFonts w:asciiTheme="minorHAnsi" w:hAnsiTheme="minorHAnsi" w:cstheme="minorHAnsi"/>
        </w:rPr>
        <w:t xml:space="preserve">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75A32" w14:textId="607DC80E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</w:t>
      </w:r>
      <w:r w:rsidR="007918B5">
        <w:rPr>
          <w:rFonts w:ascii="Calibri" w:hAnsi="Calibri" w:cs="Calibri"/>
        </w:rPr>
        <w:t xml:space="preserve">min </w:t>
      </w:r>
      <w:r w:rsidR="00002DC7">
        <w:rPr>
          <w:rFonts w:ascii="Calibri" w:hAnsi="Calibri" w:cs="Calibri"/>
        </w:rPr>
        <w:t>2,1 x 2,2 m</w:t>
      </w:r>
      <w:r w:rsidR="007918B5">
        <w:rPr>
          <w:rFonts w:ascii="Calibri" w:hAnsi="Calibri" w:cs="Calibri"/>
        </w:rPr>
        <w:t xml:space="preserve"> a </w:t>
      </w:r>
      <w:proofErr w:type="spellStart"/>
      <w:r w:rsidR="007918B5">
        <w:rPr>
          <w:rFonts w:ascii="Calibri" w:hAnsi="Calibri" w:cs="Calibri"/>
        </w:rPr>
        <w:t>max</w:t>
      </w:r>
      <w:proofErr w:type="spellEnd"/>
      <w:r w:rsidR="007918B5">
        <w:rPr>
          <w:rFonts w:ascii="Calibri" w:hAnsi="Calibri" w:cs="Calibri"/>
        </w:rPr>
        <w:t xml:space="preserve"> </w:t>
      </w:r>
      <w:r w:rsidRPr="00745065">
        <w:rPr>
          <w:rFonts w:ascii="Calibri" w:hAnsi="Calibri" w:cs="Calibri"/>
        </w:rPr>
        <w:t xml:space="preserve">5,1 x 2,4 m (standardní </w:t>
      </w:r>
      <w:proofErr w:type="spellStart"/>
      <w:r w:rsidRPr="00745065">
        <w:rPr>
          <w:rFonts w:ascii="Calibri" w:hAnsi="Calibri" w:cs="Calibri"/>
        </w:rPr>
        <w:t>euroformát</w:t>
      </w:r>
      <w:proofErr w:type="spellEnd"/>
      <w:r w:rsidRPr="00745065">
        <w:rPr>
          <w:rFonts w:ascii="Calibri" w:hAnsi="Calibri" w:cs="Calibri"/>
        </w:rPr>
        <w:t>), který bude instalován po celou dobu realizace projektu.</w:t>
      </w:r>
    </w:p>
    <w:p w14:paraId="740C1E61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FF676F0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</w:t>
      </w:r>
      <w:r w:rsidRPr="00745065">
        <w:rPr>
          <w:rFonts w:ascii="Calibri" w:hAnsi="Calibri" w:cs="Calibri"/>
        </w:rPr>
        <w:lastRenderedPageBreak/>
        <w:t>stavebního deníku a pořídí její fotodokumentaci. Stálá pamětní deska, kotevní prvky a podklad musí být z odolného a trvalého materiálu, aby zůstaly zachovány jejich vlastnosti a vzhled po celou dobu pětileté 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6318A9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 xml:space="preserve">UPOZORNĚNÍ – DNSH </w:t>
      </w:r>
    </w:p>
    <w:p w14:paraId="52219EB0" w14:textId="1ECC3FE9" w:rsidR="00797471" w:rsidRPr="006318A9" w:rsidRDefault="00797471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Veškeré aktivity projektu musí být realizovány v souladu s cíli a zásadami udržitelného rozvoje</w:t>
      </w:r>
      <w:r w:rsidR="00CB2A45" w:rsidRPr="006318A9">
        <w:rPr>
          <w:rFonts w:asciiTheme="minorHAnsi" w:hAnsiTheme="minorHAnsi" w:cstheme="minorHAnsi"/>
          <w:b/>
        </w:rPr>
        <w:t xml:space="preserve"> </w:t>
      </w:r>
      <w:r w:rsidRPr="006318A9">
        <w:rPr>
          <w:rFonts w:asciiTheme="minorHAnsi" w:hAnsiTheme="minorHAnsi" w:cstheme="minorHAnsi"/>
          <w:b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1CBC858B" w14:textId="6C10C86F" w:rsidR="00CB2A45" w:rsidRDefault="00CB2A45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Součástí zadávací dokumentace j</w:t>
      </w:r>
      <w:r w:rsidR="002350BE">
        <w:rPr>
          <w:rFonts w:asciiTheme="minorHAnsi" w:hAnsiTheme="minorHAnsi" w:cstheme="minorHAnsi"/>
          <w:b/>
        </w:rPr>
        <w:t>e Metodický pokyn k zásadě DNSH.</w:t>
      </w:r>
    </w:p>
    <w:p w14:paraId="5AE642F5" w14:textId="0A884CED" w:rsidR="00002DC7" w:rsidRDefault="00002DC7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</w:p>
    <w:p w14:paraId="29FBDFA3" w14:textId="5B7FA2F4" w:rsidR="00002DC7" w:rsidRPr="00002DC7" w:rsidRDefault="00E83751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hyperlink r:id="rId9" w:history="1">
        <w:r w:rsidR="00002DC7" w:rsidRPr="00C43E11">
          <w:rPr>
            <w:rStyle w:val="Hypertextovodkaz"/>
            <w:rFonts w:asciiTheme="minorHAnsi" w:hAnsiTheme="minorHAnsi" w:cstheme="minorHAnsi"/>
          </w:rPr>
          <w:t>https://www.mpsv.cz/web/cz/vyzva-c.-31_24_108-zvysovani-kapacit-sluzeb-socialniho-poradenstvi-a-sluzeb-socialni-prevence</w:t>
        </w:r>
      </w:hyperlink>
      <w:r w:rsidR="00002DC7">
        <w:rPr>
          <w:rFonts w:asciiTheme="minorHAnsi" w:hAnsiTheme="minorHAnsi" w:cstheme="minorHAnsi"/>
        </w:rPr>
        <w:t xml:space="preserve"> </w:t>
      </w:r>
    </w:p>
    <w:p w14:paraId="7A83CB79" w14:textId="2607251E" w:rsidR="00CB2A45" w:rsidRDefault="00CB2A45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sectPr w:rsidR="00CB2A45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1CF16" w14:textId="77777777" w:rsidR="008D4660" w:rsidRDefault="008D4660">
      <w:r>
        <w:separator/>
      </w:r>
    </w:p>
  </w:endnote>
  <w:endnote w:type="continuationSeparator" w:id="0">
    <w:p w14:paraId="0FED1ADC" w14:textId="77777777" w:rsidR="008D4660" w:rsidRDefault="008D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629AB2CC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83751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E83751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AC050" w14:textId="7F95B31F" w:rsidR="003204AF" w:rsidRPr="00C617A9" w:rsidRDefault="00F1379D" w:rsidP="003204AF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ab/>
    </w:r>
    <w:r w:rsidR="003204AF">
      <w:t xml:space="preserve">Strana </w:t>
    </w:r>
    <w:r w:rsidR="003204AF">
      <w:fldChar w:fldCharType="begin"/>
    </w:r>
    <w:r w:rsidR="003204AF">
      <w:instrText xml:space="preserve"> PAGE </w:instrText>
    </w:r>
    <w:r w:rsidR="003204AF">
      <w:fldChar w:fldCharType="separate"/>
    </w:r>
    <w:r w:rsidR="00E83751">
      <w:rPr>
        <w:noProof/>
      </w:rPr>
      <w:t>1</w:t>
    </w:r>
    <w:r w:rsidR="003204AF">
      <w:fldChar w:fldCharType="end"/>
    </w:r>
    <w:r w:rsidR="003204AF">
      <w:t xml:space="preserve"> (celkem </w:t>
    </w:r>
    <w:r w:rsidR="003204AF">
      <w:rPr>
        <w:noProof/>
      </w:rPr>
      <w:fldChar w:fldCharType="begin"/>
    </w:r>
    <w:r w:rsidR="003204AF">
      <w:rPr>
        <w:noProof/>
      </w:rPr>
      <w:instrText xml:space="preserve"> NUMPAGES </w:instrText>
    </w:r>
    <w:r w:rsidR="003204AF">
      <w:rPr>
        <w:noProof/>
      </w:rPr>
      <w:fldChar w:fldCharType="separate"/>
    </w:r>
    <w:r w:rsidR="00E83751">
      <w:rPr>
        <w:noProof/>
      </w:rPr>
      <w:t>3</w:t>
    </w:r>
    <w:r w:rsidR="003204AF">
      <w:rPr>
        <w:noProof/>
      </w:rPr>
      <w:fldChar w:fldCharType="end"/>
    </w:r>
    <w:r w:rsidR="003204AF">
      <w:t>)</w:t>
    </w:r>
  </w:p>
  <w:p w14:paraId="7C5261AE" w14:textId="5DBDE804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D1E79" w14:textId="77777777" w:rsidR="008D4660" w:rsidRDefault="008D4660">
      <w:r>
        <w:separator/>
      </w:r>
    </w:p>
  </w:footnote>
  <w:footnote w:type="continuationSeparator" w:id="0">
    <w:p w14:paraId="48F06E7D" w14:textId="77777777" w:rsidR="008D4660" w:rsidRDefault="008D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0CBC" w14:textId="64D9C364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0CA4B44D" wp14:editId="25A5B12F">
          <wp:extent cx="1752600" cy="55245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536D4BE6" wp14:editId="2305A2AE">
          <wp:extent cx="1849416" cy="730123"/>
          <wp:effectExtent l="0" t="0" r="0" b="0"/>
          <wp:docPr id="8" name="Obrázek 8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1129B27E" wp14:editId="07B1331D">
          <wp:extent cx="702005" cy="722532"/>
          <wp:effectExtent l="0" t="0" r="3175" b="1905"/>
          <wp:docPr id="9" name="Obrázek 9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A2022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  <w:p w14:paraId="4F510E51" w14:textId="756C591A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  <w:p w14:paraId="58A3267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4878" w14:textId="77777777" w:rsidR="00745065" w:rsidRDefault="00745065" w:rsidP="00745065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3570F052" wp14:editId="48C053A1">
          <wp:extent cx="1752600" cy="552450"/>
          <wp:effectExtent l="0" t="0" r="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1555192A" wp14:editId="7CB31348">
          <wp:extent cx="1849416" cy="730123"/>
          <wp:effectExtent l="0" t="0" r="0" b="0"/>
          <wp:docPr id="12" name="Obrázek 12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7CF7A5BE" wp14:editId="439E5C24">
          <wp:extent cx="702005" cy="722532"/>
          <wp:effectExtent l="0" t="0" r="3175" b="1905"/>
          <wp:docPr id="13" name="Obrázek 13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8C07A" w14:textId="4974E2C9" w:rsidR="0097372D" w:rsidRPr="003204AF" w:rsidRDefault="0097372D">
    <w:pPr>
      <w:pStyle w:val="Zhlav"/>
      <w:pBdr>
        <w:bottom w:val="single" w:sz="6" w:space="1" w:color="auto"/>
      </w:pBdr>
      <w:rPr>
        <w:rFonts w:ascii="Arial" w:hAnsi="Arial"/>
        <w:b/>
      </w:rPr>
    </w:pPr>
  </w:p>
  <w:p w14:paraId="414FDFD9" w14:textId="6DA7CEF9" w:rsidR="00F1379D" w:rsidRPr="00D436EB" w:rsidRDefault="009B7C21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 xml:space="preserve"> </w:t>
    </w:r>
    <w:r w:rsidR="00391D85"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7674181E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E83751">
                            <w:rPr>
                              <w:rFonts w:ascii="Arial" w:hAnsi="Arial" w:cs="Arial"/>
                              <w:sz w:val="22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7674181E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E83751">
                      <w:rPr>
                        <w:rFonts w:ascii="Arial" w:hAnsi="Arial" w:cs="Arial"/>
                        <w:sz w:val="22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2DC7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0833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350BE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7CF4"/>
    <w:rsid w:val="00314837"/>
    <w:rsid w:val="003204AF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C05A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454C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18A9"/>
    <w:rsid w:val="006332CA"/>
    <w:rsid w:val="00641383"/>
    <w:rsid w:val="006432D9"/>
    <w:rsid w:val="006471EC"/>
    <w:rsid w:val="00654790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45065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18B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D4660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7372D"/>
    <w:rsid w:val="009804EF"/>
    <w:rsid w:val="009823A5"/>
    <w:rsid w:val="009A10D4"/>
    <w:rsid w:val="009A13E4"/>
    <w:rsid w:val="009B1BDD"/>
    <w:rsid w:val="009B3ABB"/>
    <w:rsid w:val="009B7A20"/>
    <w:rsid w:val="009B7C21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96E3C"/>
    <w:rsid w:val="00CB04A4"/>
    <w:rsid w:val="00CB2A45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1048C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526C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83751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6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43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bohmova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vyzva-c.-31_24_108-zvysovani-kapacit-sluzeb-socialniho-poradenstvi-a-sluzeb-socialni-prevenc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3A9B-0B28-4406-AC56-F0AF0CDF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930</Words>
  <Characters>6071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6988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6</cp:revision>
  <cp:lastPrinted>2019-02-15T10:09:00Z</cp:lastPrinted>
  <dcterms:created xsi:type="dcterms:W3CDTF">2024-03-22T08:12:00Z</dcterms:created>
  <dcterms:modified xsi:type="dcterms:W3CDTF">2024-11-12T13:05:00Z</dcterms:modified>
</cp:coreProperties>
</file>