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211BAD51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5D00AB" w:rsidRPr="005D00AB">
        <w:rPr>
          <w:rFonts w:asciiTheme="minorHAnsi" w:hAnsiTheme="minorHAnsi" w:cs="Arial"/>
          <w:b/>
          <w:sz w:val="28"/>
          <w:szCs w:val="28"/>
        </w:rPr>
        <w:t>X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6A17664A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B778E7">
        <w:rPr>
          <w:rFonts w:asciiTheme="minorHAnsi" w:hAnsiTheme="minorHAnsi" w:cstheme="minorHAnsi"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F1247F" w:rsidRPr="00B778E7">
        <w:rPr>
          <w:rFonts w:asciiTheme="minorHAnsi" w:hAnsiTheme="minorHAnsi" w:cstheme="minorHAnsi"/>
          <w:b/>
        </w:rPr>
        <w:t>Speciální MŠ a ZŠ Polička - přístavba učeben</w:t>
      </w:r>
    </w:p>
    <w:p w14:paraId="3367D799" w14:textId="0F96461C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B778E7">
        <w:rPr>
          <w:rFonts w:asciiTheme="minorHAnsi" w:hAnsiTheme="minorHAnsi" w:cstheme="minorHAnsi"/>
        </w:rPr>
        <w:t>Registrační číslo</w:t>
      </w:r>
      <w:r w:rsidR="00BB3F0F" w:rsidRPr="00B778E7">
        <w:rPr>
          <w:rFonts w:asciiTheme="minorHAnsi" w:hAnsiTheme="minorHAnsi" w:cstheme="minorHAnsi"/>
        </w:rPr>
        <w:t xml:space="preserve"> projektu</w:t>
      </w:r>
      <w:r w:rsidRPr="00B778E7">
        <w:rPr>
          <w:rFonts w:asciiTheme="minorHAnsi" w:hAnsiTheme="minorHAnsi" w:cstheme="minorHAnsi"/>
        </w:rPr>
        <w:t>:</w:t>
      </w:r>
      <w:r w:rsidRPr="003213D5">
        <w:rPr>
          <w:rFonts w:asciiTheme="minorHAnsi" w:hAnsiTheme="minorHAnsi" w:cstheme="minorHAnsi"/>
          <w:b/>
        </w:rPr>
        <w:t xml:space="preserve"> </w:t>
      </w:r>
      <w:r w:rsidR="00F1247F" w:rsidRPr="00B778E7">
        <w:rPr>
          <w:rFonts w:asciiTheme="minorHAnsi" w:hAnsiTheme="minorHAnsi" w:cstheme="minorHAnsi"/>
          <w:b/>
          <w:color w:val="000000"/>
          <w:shd w:val="clear" w:color="auto" w:fill="FFFFFF"/>
        </w:rPr>
        <w:t>CZ.06.04.01/00/23_095/0005119</w:t>
      </w:r>
    </w:p>
    <w:p w14:paraId="54864B75" w14:textId="77777777" w:rsidR="003213D5" w:rsidRPr="00B778E7" w:rsidRDefault="00624BBA" w:rsidP="00F1247F">
      <w:pPr>
        <w:ind w:left="2977" w:right="-24" w:hanging="2977"/>
        <w:rPr>
          <w:rFonts w:asciiTheme="minorHAnsi" w:hAnsiTheme="minorHAnsi" w:cstheme="minorHAnsi"/>
        </w:rPr>
      </w:pPr>
      <w:r w:rsidRPr="00B778E7">
        <w:rPr>
          <w:rFonts w:asciiTheme="minorHAnsi" w:hAnsiTheme="minorHAnsi" w:cstheme="minorHAnsi"/>
        </w:rPr>
        <w:t>Název operačního programu:</w:t>
      </w:r>
      <w:r w:rsidR="00A120B2" w:rsidRPr="00B778E7">
        <w:rPr>
          <w:rFonts w:asciiTheme="minorHAnsi" w:hAnsiTheme="minorHAnsi" w:cstheme="minorHAnsi"/>
        </w:rPr>
        <w:t xml:space="preserve"> </w:t>
      </w:r>
      <w:r w:rsidR="001F6F5E" w:rsidRPr="00B778E7">
        <w:rPr>
          <w:rFonts w:asciiTheme="minorHAnsi" w:hAnsiTheme="minorHAnsi" w:cstheme="minorHAnsi"/>
          <w:b/>
        </w:rPr>
        <w:t xml:space="preserve">Integrovaný regionální operační program </w:t>
      </w:r>
      <w:r w:rsidR="00C53007" w:rsidRPr="00B778E7">
        <w:rPr>
          <w:rFonts w:asciiTheme="minorHAnsi" w:hAnsiTheme="minorHAnsi" w:cstheme="minorHAnsi"/>
          <w:b/>
        </w:rPr>
        <w:t>2021-2027</w:t>
      </w:r>
      <w:r w:rsidR="00C53007" w:rsidRPr="00B778E7">
        <w:rPr>
          <w:rFonts w:asciiTheme="minorHAnsi" w:hAnsiTheme="minorHAnsi" w:cstheme="minorHAnsi"/>
        </w:rPr>
        <w:t xml:space="preserve"> </w:t>
      </w:r>
      <w:r w:rsidR="001F6F5E" w:rsidRPr="00B778E7">
        <w:rPr>
          <w:rFonts w:asciiTheme="minorHAnsi" w:hAnsiTheme="minorHAnsi" w:cstheme="minorHAnsi"/>
        </w:rPr>
        <w:t>(dále jen „IROP“)</w:t>
      </w:r>
    </w:p>
    <w:p w14:paraId="0813EEB6" w14:textId="1A7D12C4" w:rsidR="00A10E9F" w:rsidRPr="00B778E7" w:rsidRDefault="00A10E9F" w:rsidP="00F1247F">
      <w:pPr>
        <w:ind w:left="1985" w:right="-24" w:hanging="1985"/>
        <w:rPr>
          <w:rFonts w:asciiTheme="minorHAnsi" w:hAnsiTheme="minorHAnsi" w:cstheme="minorHAnsi"/>
          <w:color w:val="FF0000"/>
        </w:rPr>
      </w:pPr>
      <w:r w:rsidRPr="00B778E7">
        <w:rPr>
          <w:rFonts w:asciiTheme="minorHAnsi" w:hAnsiTheme="minorHAnsi" w:cstheme="minorHAnsi"/>
        </w:rPr>
        <w:t xml:space="preserve">Číslo </w:t>
      </w:r>
      <w:r w:rsidR="00B553E1" w:rsidRPr="00B778E7">
        <w:rPr>
          <w:rFonts w:asciiTheme="minorHAnsi" w:hAnsiTheme="minorHAnsi" w:cstheme="minorHAnsi"/>
        </w:rPr>
        <w:t xml:space="preserve">a název </w:t>
      </w:r>
      <w:r w:rsidRPr="00B778E7">
        <w:rPr>
          <w:rFonts w:asciiTheme="minorHAnsi" w:hAnsiTheme="minorHAnsi" w:cstheme="minorHAnsi"/>
        </w:rPr>
        <w:t>výzvy:</w:t>
      </w:r>
      <w:r w:rsidR="00F1247F" w:rsidRPr="00B778E7">
        <w:rPr>
          <w:rFonts w:asciiTheme="minorHAnsi" w:hAnsiTheme="minorHAnsi" w:cstheme="minorHAnsi"/>
        </w:rPr>
        <w:tab/>
      </w:r>
      <w:r w:rsidR="00F1247F" w:rsidRPr="00B778E7">
        <w:rPr>
          <w:rFonts w:asciiTheme="minorHAnsi" w:hAnsiTheme="minorHAnsi" w:cstheme="minorHAnsi"/>
          <w:b/>
          <w:color w:val="000000"/>
          <w:shd w:val="clear" w:color="auto" w:fill="FFFFFF"/>
        </w:rPr>
        <w:t>95. výzva IROP - Školská poradenská zařízení, speciální vzdělávání a střediska výchovné péče - SC 4.1</w:t>
      </w:r>
      <w:r w:rsidR="00F1247F" w:rsidRPr="00B778E7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F1247F" w:rsidRPr="00DE6468">
        <w:rPr>
          <w:rFonts w:asciiTheme="minorHAnsi" w:hAnsiTheme="minorHAnsi" w:cstheme="minorHAnsi"/>
          <w:b/>
          <w:color w:val="000000"/>
          <w:shd w:val="clear" w:color="auto" w:fill="FFFFFF"/>
        </w:rPr>
        <w:t>(MRR)</w:t>
      </w:r>
    </w:p>
    <w:p w14:paraId="744D9A58" w14:textId="28E8EBEA" w:rsidR="00624BBA" w:rsidRPr="00B778E7" w:rsidRDefault="00A57ABF" w:rsidP="00A10E9F">
      <w:pPr>
        <w:ind w:right="-24"/>
        <w:rPr>
          <w:rFonts w:asciiTheme="minorHAnsi" w:hAnsiTheme="minorHAnsi" w:cstheme="minorHAnsi"/>
        </w:rPr>
      </w:pPr>
      <w:r w:rsidRPr="00B778E7">
        <w:rPr>
          <w:rFonts w:asciiTheme="minorHAnsi" w:hAnsiTheme="minorHAnsi" w:cstheme="minorHAnsi"/>
        </w:rPr>
        <w:t xml:space="preserve">Řídící orgán: </w:t>
      </w:r>
      <w:r w:rsidR="001F6F5E" w:rsidRPr="00B778E7">
        <w:rPr>
          <w:rFonts w:asciiTheme="minorHAnsi" w:hAnsiTheme="minorHAnsi" w:cstheme="minorHAnsi"/>
          <w:b/>
        </w:rPr>
        <w:t>Ministerstvo pro místní rozvoj ČR</w:t>
      </w:r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 xml:space="preserve">ktuře bude uveden </w:t>
      </w:r>
      <w:r w:rsidR="00624BBA" w:rsidRPr="007663F4">
        <w:rPr>
          <w:rFonts w:asciiTheme="minorHAnsi" w:hAnsiTheme="minorHAnsi" w:cstheme="minorHAnsi"/>
          <w:b/>
        </w:rPr>
        <w:t>název</w:t>
      </w:r>
      <w:r w:rsidR="00624BBA" w:rsidRPr="003213D5">
        <w:rPr>
          <w:rFonts w:asciiTheme="minorHAnsi" w:hAnsiTheme="minorHAnsi" w:cstheme="minorHAnsi"/>
        </w:rPr>
        <w:t xml:space="preserve">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7663F4">
        <w:rPr>
          <w:rFonts w:asciiTheme="minorHAnsi" w:hAnsiTheme="minorHAnsi" w:cstheme="minorHAnsi"/>
          <w:b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D4E341C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</w:t>
      </w:r>
      <w:r w:rsidR="007663F4">
        <w:rPr>
          <w:rFonts w:asciiTheme="minorHAnsi" w:hAnsiTheme="minorHAnsi" w:cstheme="minorHAnsi"/>
        </w:rPr>
        <w:t>,</w:t>
      </w:r>
      <w:r w:rsidRPr="003213D5">
        <w:rPr>
          <w:rFonts w:asciiTheme="minorHAnsi" w:hAnsiTheme="minorHAnsi" w:cstheme="minorHAnsi"/>
        </w:rPr>
        <w:t xml:space="preserve">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5AC9D77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6C6C2C0E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B9A4271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4E5F4BFB" w:rsidR="004960BF" w:rsidRPr="003213D5" w:rsidRDefault="00DE6468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až do roku </w:t>
      </w:r>
      <w:r w:rsidRPr="009D4408">
        <w:rPr>
          <w:rFonts w:asciiTheme="minorHAnsi" w:hAnsiTheme="minorHAnsi"/>
        </w:rPr>
        <w:t>203</w:t>
      </w:r>
      <w:r>
        <w:rPr>
          <w:rFonts w:asciiTheme="minorHAnsi" w:hAnsiTheme="minorHAnsi"/>
        </w:rPr>
        <w:t>7</w:t>
      </w:r>
      <w:r w:rsidRPr="009D4408">
        <w:rPr>
          <w:rFonts w:asciiTheme="minorHAnsi" w:hAnsiTheme="minorHAnsi"/>
        </w:rPr>
        <w:t>.</w:t>
      </w:r>
    </w:p>
    <w:p w14:paraId="3038EF51" w14:textId="250D9148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</w:t>
      </w:r>
      <w:r w:rsidR="007663F4">
        <w:rPr>
          <w:rFonts w:asciiTheme="minorHAnsi" w:hAnsiTheme="minorHAnsi" w:cstheme="minorHAnsi"/>
        </w:rPr>
        <w:t>,</w:t>
      </w:r>
      <w:r w:rsidRPr="003213D5">
        <w:rPr>
          <w:rFonts w:asciiTheme="minorHAnsi" w:hAnsiTheme="minorHAnsi" w:cstheme="minorHAnsi"/>
        </w:rPr>
        <w:t xml:space="preserve"> a to ve lhůtě stanovené objednatelem.</w:t>
      </w:r>
    </w:p>
    <w:p w14:paraId="148B3AAB" w14:textId="09A23A50" w:rsidR="00C46A04" w:rsidRPr="003213D5" w:rsidRDefault="00DE6468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AB3721">
        <w:rPr>
          <w:rFonts w:asciiTheme="minorHAnsi" w:hAnsiTheme="minorHAnsi"/>
        </w:rPr>
        <w:lastRenderedPageBreak/>
        <w:t>Zhotovitel se zavazuje dodržovat princip významného nepoškozování environmentálních cílů (DNSH)</w:t>
      </w:r>
      <w:r>
        <w:rPr>
          <w:rFonts w:asciiTheme="minorHAnsi" w:hAnsiTheme="minorHAnsi"/>
        </w:rPr>
        <w:t>.</w:t>
      </w:r>
    </w:p>
    <w:p w14:paraId="25DF976C" w14:textId="50D450CE" w:rsidR="00CB04A4" w:rsidRPr="003213D5" w:rsidRDefault="00624D17" w:rsidP="00C46A04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</w:t>
      </w:r>
      <w:r w:rsidRPr="007663F4">
        <w:rPr>
          <w:rFonts w:asciiTheme="minorHAnsi" w:hAnsiTheme="minorHAnsi" w:cstheme="minorHAnsi"/>
          <w:b/>
        </w:rPr>
        <w:t>čerpání</w:t>
      </w:r>
      <w:r w:rsidRPr="003213D5">
        <w:rPr>
          <w:rFonts w:asciiTheme="minorHAnsi" w:hAnsiTheme="minorHAnsi" w:cstheme="minorHAnsi"/>
        </w:rPr>
        <w:t xml:space="preserve">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</w:t>
      </w:r>
      <w:r w:rsidRPr="007663F4">
        <w:rPr>
          <w:rFonts w:asciiTheme="minorHAnsi" w:hAnsiTheme="minorHAnsi" w:cstheme="minorHAnsi"/>
          <w:b/>
        </w:rPr>
        <w:t>BIM Platformy</w:t>
      </w:r>
      <w:r w:rsidRPr="003213D5">
        <w:rPr>
          <w:rFonts w:asciiTheme="minorHAnsi" w:hAnsiTheme="minorHAnsi" w:cstheme="minorHAnsi"/>
        </w:rPr>
        <w:t xml:space="preserve">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07C21D26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</w:t>
      </w:r>
      <w:r w:rsidR="0024429B">
        <w:rPr>
          <w:rFonts w:asciiTheme="minorHAnsi" w:hAnsiTheme="minorHAnsi" w:cstheme="minorHAnsi"/>
        </w:rPr>
        <w:t xml:space="preserve">průběžně vyhotovuje fotodokumentaci. S 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předá</w:t>
      </w:r>
      <w:r w:rsidR="0024429B">
        <w:rPr>
          <w:rFonts w:asciiTheme="minorHAnsi" w:hAnsiTheme="minorHAnsi" w:cstheme="minorHAnsi"/>
        </w:rPr>
        <w:t>/zašle</w:t>
      </w:r>
      <w:r w:rsidRPr="003213D5">
        <w:rPr>
          <w:rFonts w:asciiTheme="minorHAnsi" w:hAnsiTheme="minorHAnsi" w:cstheme="minorHAnsi"/>
        </w:rPr>
        <w:t xml:space="preserve"> </w:t>
      </w:r>
      <w:r w:rsidR="0024429B">
        <w:rPr>
          <w:rFonts w:asciiTheme="minorHAnsi" w:hAnsiTheme="minorHAnsi" w:cstheme="minorHAnsi"/>
        </w:rPr>
        <w:t xml:space="preserve">příslušnou </w:t>
      </w:r>
      <w:r w:rsidRPr="003213D5">
        <w:rPr>
          <w:rFonts w:asciiTheme="minorHAnsi" w:hAnsiTheme="minorHAnsi" w:cstheme="minorHAnsi"/>
        </w:rPr>
        <w:t>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25C69811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0B895881" w14:textId="353D9B9B" w:rsidR="008A119F" w:rsidRPr="003213D5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="00545FAC">
        <w:rPr>
          <w:rFonts w:asciiTheme="minorHAnsi" w:hAnsiTheme="minorHAnsi" w:cstheme="minorHAnsi"/>
        </w:rPr>
        <w:t>a stálé</w:t>
      </w:r>
      <w:r w:rsidRPr="003213D5">
        <w:rPr>
          <w:rFonts w:asciiTheme="minorHAnsi" w:hAnsiTheme="minorHAnsi" w:cstheme="minorHAnsi"/>
        </w:rPr>
        <w:t xml:space="preserve">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613B8B49" w14:textId="504C3D3D" w:rsidR="00DE6468" w:rsidRPr="00DE6468" w:rsidRDefault="00DE6468" w:rsidP="00DE6468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E6468">
        <w:rPr>
          <w:rFonts w:asciiTheme="minorHAnsi" w:hAnsiTheme="minorHAnsi"/>
        </w:rPr>
        <w:t xml:space="preserve">Další povinnosti zhotovitele vyplývají také z pravidel pro žadatele a příjemce, včetně příloh a dalších dokumentů k dané výzvě dostupných na </w:t>
      </w:r>
      <w:hyperlink r:id="rId8" w:history="1">
        <w:r w:rsidRPr="00DE6468">
          <w:rPr>
            <w:rStyle w:val="Hypertextovodkaz"/>
            <w:rFonts w:asciiTheme="minorHAnsi" w:hAnsiTheme="minorHAnsi" w:cstheme="minorHAnsi"/>
          </w:rPr>
          <w:t>https://irop.gov.cz/cs/vyzvy-2021-2027/vyzvy/95vyzvairop</w:t>
        </w:r>
      </w:hyperlink>
    </w:p>
    <w:sectPr w:rsidR="00DE6468" w:rsidRPr="00DE6468" w:rsidSect="00F30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F71A" w14:textId="77777777" w:rsidR="00357D9E" w:rsidRDefault="00357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30AE0FA0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57D9E">
      <w:rPr>
        <w:noProof/>
      </w:rPr>
      <w:t>2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357D9E">
      <w:rPr>
        <w:noProof/>
      </w:rPr>
      <w:t>2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984E52" w:rsidRDefault="00F1379D" w:rsidP="002A2466">
    <w:pPr>
      <w:pStyle w:val="Zpat"/>
      <w:pBdr>
        <w:top w:val="single" w:sz="4" w:space="1" w:color="auto"/>
      </w:pBdr>
      <w:rPr>
        <w:rStyle w:val="slostrnky"/>
        <w:rFonts w:asciiTheme="minorHAnsi" w:hAnsiTheme="minorHAnsi" w:cstheme="minorHAnsi"/>
        <w:sz w:val="24"/>
        <w:szCs w:val="24"/>
      </w:rPr>
    </w:pPr>
    <w:r>
      <w:tab/>
    </w:r>
    <w:proofErr w:type="gramStart"/>
    <w:r w:rsidRPr="00984E52">
      <w:rPr>
        <w:rFonts w:asciiTheme="minorHAnsi" w:hAnsiTheme="minorHAnsi" w:cstheme="minorHAnsi"/>
        <w:sz w:val="24"/>
        <w:szCs w:val="24"/>
      </w:rPr>
      <w:t>Strana 1 ( celkem</w:t>
    </w:r>
    <w:proofErr w:type="gramEnd"/>
    <w:r w:rsidRPr="00984E52">
      <w:rPr>
        <w:rFonts w:asciiTheme="minorHAnsi" w:hAnsiTheme="minorHAnsi" w:cstheme="minorHAnsi"/>
        <w:sz w:val="24"/>
        <w:szCs w:val="24"/>
      </w:rPr>
      <w:t xml:space="preserve"> </w:t>
    </w:r>
    <w:r w:rsidR="00DE3B9E" w:rsidRPr="00984E52">
      <w:rPr>
        <w:rFonts w:asciiTheme="minorHAnsi" w:hAnsiTheme="minorHAnsi" w:cstheme="minorHAnsi"/>
        <w:sz w:val="24"/>
        <w:szCs w:val="24"/>
      </w:rPr>
      <w:t>2</w:t>
    </w:r>
    <w:r w:rsidRPr="00984E52">
      <w:rPr>
        <w:rFonts w:asciiTheme="minorHAnsi" w:hAnsiTheme="minorHAnsi" w:cstheme="minorHAnsi"/>
        <w:sz w:val="24"/>
        <w:szCs w:val="24"/>
      </w:rPr>
      <w:t xml:space="preserve"> )</w:t>
    </w:r>
    <w:r w:rsidRPr="00984E52">
      <w:rPr>
        <w:rStyle w:val="slostrnky"/>
        <w:rFonts w:asciiTheme="minorHAnsi" w:hAnsiTheme="minorHAnsi" w:cstheme="minorHAnsi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745C3" w14:textId="77777777" w:rsidR="00357D9E" w:rsidRDefault="00357D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Pr="00984E52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</w:rPr>
    </w:pPr>
    <w:r w:rsidRPr="00984E52">
      <w:rPr>
        <w:rFonts w:asciiTheme="minorHAnsi" w:hAnsiTheme="minorHAnsi" w:cstheme="minorHAnsi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5B4412BE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5B4412BE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451B7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4429B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57D9E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3E09D3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5FAC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248C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3F4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E5700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468D0"/>
    <w:rsid w:val="00950EC4"/>
    <w:rsid w:val="00952265"/>
    <w:rsid w:val="0097268D"/>
    <w:rsid w:val="009804EF"/>
    <w:rsid w:val="009823A5"/>
    <w:rsid w:val="00984E52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08A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778E7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46A04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275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30299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E6468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247F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95vyzvairo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8BAD-A5D8-4ACB-84A2-5FC822D5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831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6117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Skutilová Dana Lic.</cp:lastModifiedBy>
  <cp:revision>10</cp:revision>
  <cp:lastPrinted>2019-02-15T10:09:00Z</cp:lastPrinted>
  <dcterms:created xsi:type="dcterms:W3CDTF">2024-10-30T11:04:00Z</dcterms:created>
  <dcterms:modified xsi:type="dcterms:W3CDTF">2024-11-12T12:36:00Z</dcterms:modified>
</cp:coreProperties>
</file>