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CD6A3" w14:textId="05E28275" w:rsidR="00E174B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232D6BC4" w:rsidR="00433124" w:rsidRPr="003320BF" w:rsidRDefault="0024457F" w:rsidP="003320BF">
      <w:pPr>
        <w:jc w:val="both"/>
        <w:rPr>
          <w:rFonts w:ascii="Calibri" w:hAnsi="Calibri" w:cs="Calibri"/>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80214E" w:rsidRPr="0080214E">
        <w:rPr>
          <w:rFonts w:ascii="Calibri" w:hAnsi="Calibri" w:cs="Calibri"/>
          <w:b/>
          <w:bCs/>
          <w:sz w:val="22"/>
          <w:szCs w:val="22"/>
        </w:rPr>
        <w:t>Léčivý přípravek ATC skupiny N02CD01 s účinnou látkou ERENUMAB</w:t>
      </w:r>
      <w:r w:rsidR="00E36031" w:rsidRPr="00E36031">
        <w:rPr>
          <w:rFonts w:ascii="Calibri" w:hAnsi="Calibri" w:cs="Calibr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7DA81BB0"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512638">
        <w:rPr>
          <w:rFonts w:ascii="Calibri" w:hAnsi="Calibri" w:cs="Calibri"/>
          <w:b/>
          <w:bCs/>
          <w:sz w:val="22"/>
          <w:szCs w:val="22"/>
        </w:rPr>
        <w:t>léčivý přípravek</w:t>
      </w:r>
      <w:r w:rsidR="00CE0066">
        <w:rPr>
          <w:rFonts w:ascii="Calibri" w:hAnsi="Calibri" w:cs="Calibri"/>
          <w:b/>
          <w:bCs/>
          <w:sz w:val="22"/>
          <w:szCs w:val="22"/>
        </w:rPr>
        <w:t xml:space="preserve"> </w:t>
      </w:r>
      <w:r w:rsidR="00512638">
        <w:rPr>
          <w:rFonts w:ascii="Calibri" w:hAnsi="Calibri" w:cs="Calibri"/>
          <w:b/>
          <w:bCs/>
          <w:sz w:val="22"/>
          <w:szCs w:val="22"/>
        </w:rPr>
        <w:t xml:space="preserve">s účinnou látkou </w:t>
      </w:r>
      <w:r w:rsidR="0080214E" w:rsidRPr="0080214E">
        <w:rPr>
          <w:rFonts w:ascii="Calibri" w:hAnsi="Calibri" w:cs="Calibri"/>
          <w:b/>
          <w:bCs/>
          <w:sz w:val="22"/>
          <w:szCs w:val="22"/>
        </w:rPr>
        <w:t>ERENUMAB</w:t>
      </w:r>
      <w:r w:rsidR="00512638"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80214E">
        <w:rPr>
          <w:rFonts w:ascii="Calibri" w:hAnsi="Calibri" w:cs="Calibri"/>
          <w:sz w:val="22"/>
          <w:szCs w:val="22"/>
        </w:rPr>
        <w:t>Komoditní manager léčiva, Úsek centrálního nákupu</w:t>
      </w:r>
      <w:r w:rsidR="002E016F" w:rsidRPr="0080214E">
        <w:rPr>
          <w:rFonts w:ascii="Calibri" w:hAnsi="Calibri" w:cs="Calibri"/>
          <w:sz w:val="22"/>
          <w:szCs w:val="22"/>
        </w:rPr>
        <w:t xml:space="preserve"> kupujícího</w:t>
      </w:r>
      <w:r w:rsidR="00343FBE" w:rsidRPr="0080214E">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80214E">
        <w:rPr>
          <w:rFonts w:ascii="Calibri" w:hAnsi="Calibri" w:cs="Calibri"/>
          <w:bCs/>
          <w:szCs w:val="22"/>
        </w:rPr>
        <w:t>Kontaktní osob</w:t>
      </w:r>
      <w:r w:rsidR="00BE4A74" w:rsidRPr="0080214E">
        <w:rPr>
          <w:rFonts w:ascii="Calibri" w:hAnsi="Calibri" w:cs="Calibri"/>
          <w:bCs/>
          <w:szCs w:val="22"/>
        </w:rPr>
        <w:t>y</w:t>
      </w:r>
      <w:r w:rsidRPr="0080214E">
        <w:rPr>
          <w:rFonts w:ascii="Calibri" w:hAnsi="Calibri" w:cs="Calibri"/>
          <w:bCs/>
          <w:szCs w:val="22"/>
        </w:rPr>
        <w:t xml:space="preserve"> v</w:t>
      </w:r>
      <w:r w:rsidR="00BE4A74" w:rsidRPr="0080214E">
        <w:rPr>
          <w:rFonts w:ascii="Calibri" w:hAnsi="Calibri" w:cs="Calibri"/>
          <w:bCs/>
          <w:szCs w:val="22"/>
        </w:rPr>
        <w:t> </w:t>
      </w:r>
      <w:r w:rsidRPr="0080214E">
        <w:rPr>
          <w:rFonts w:ascii="Calibri" w:hAnsi="Calibri" w:cs="Calibri"/>
          <w:bCs/>
          <w:szCs w:val="22"/>
        </w:rPr>
        <w:t>ústavní</w:t>
      </w:r>
      <w:r w:rsidR="00BE4A74" w:rsidRPr="0080214E">
        <w:rPr>
          <w:rFonts w:ascii="Calibri" w:hAnsi="Calibri" w:cs="Calibri"/>
          <w:bCs/>
          <w:szCs w:val="22"/>
        </w:rPr>
        <w:t xml:space="preserve">ch </w:t>
      </w:r>
      <w:r w:rsidRPr="0080214E">
        <w:rPr>
          <w:rFonts w:ascii="Calibri" w:hAnsi="Calibri" w:cs="Calibri"/>
          <w:bCs/>
          <w:szCs w:val="22"/>
        </w:rPr>
        <w:t>lékárn</w:t>
      </w:r>
      <w:r w:rsidR="00BE4A74" w:rsidRPr="0080214E">
        <w:rPr>
          <w:rFonts w:ascii="Calibri" w:hAnsi="Calibri" w:cs="Calibri"/>
          <w:bCs/>
          <w:szCs w:val="22"/>
        </w:rPr>
        <w:t>ách</w:t>
      </w:r>
      <w:r w:rsidRPr="0080214E">
        <w:rPr>
          <w:rFonts w:ascii="Calibri" w:hAnsi="Calibri" w:cs="Calibri"/>
          <w:bCs/>
          <w:szCs w:val="22"/>
        </w:rPr>
        <w:t xml:space="preserve"> kupujícího:</w:t>
      </w:r>
      <w:r w:rsidR="00D66BCF" w:rsidRPr="0080214E">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 xml:space="preserve">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w:t>
      </w:r>
      <w:proofErr w:type="gramStart"/>
      <w:r w:rsidR="003320BF" w:rsidRPr="003320BF">
        <w:rPr>
          <w:rFonts w:ascii="Calibri" w:hAnsi="Calibri" w:cs="Calibri"/>
          <w:sz w:val="22"/>
          <w:szCs w:val="22"/>
        </w:rPr>
        <w:t>Nedoloží</w:t>
      </w:r>
      <w:proofErr w:type="gramEnd"/>
      <w:r w:rsidR="003320BF" w:rsidRPr="003320BF">
        <w:rPr>
          <w:rFonts w:ascii="Calibri" w:hAnsi="Calibri" w:cs="Calibri"/>
          <w:sz w:val="22"/>
          <w:szCs w:val="22"/>
        </w:rPr>
        <w:t>-li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 xml:space="preserve">Adresa </w:t>
      </w:r>
      <w:proofErr w:type="gramStart"/>
      <w:r w:rsidR="00FF1118" w:rsidRPr="00FF1118">
        <w:rPr>
          <w:rFonts w:ascii="Calibri" w:hAnsi="Calibri" w:cs="Calibri"/>
          <w:sz w:val="22"/>
          <w:szCs w:val="22"/>
        </w:rPr>
        <w:t>slouží</w:t>
      </w:r>
      <w:proofErr w:type="gramEnd"/>
      <w:r w:rsidR="00FF1118" w:rsidRPr="00FF1118">
        <w:rPr>
          <w:rFonts w:ascii="Calibri" w:hAnsi="Calibri" w:cs="Calibri"/>
          <w:sz w:val="22"/>
          <w:szCs w:val="22"/>
        </w:rPr>
        <w:t xml:space="preserve">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w:t>
      </w:r>
      <w:proofErr w:type="gramStart"/>
      <w:r w:rsidRPr="004617FC">
        <w:rPr>
          <w:rFonts w:ascii="Calibri" w:hAnsi="Calibri" w:cs="Calibri"/>
          <w:sz w:val="22"/>
          <w:szCs w:val="22"/>
        </w:rPr>
        <w:t>běží</w:t>
      </w:r>
      <w:proofErr w:type="gramEnd"/>
      <w:r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4617FC">
        <w:rPr>
          <w:rFonts w:ascii="Calibri" w:hAnsi="Calibri" w:cs="Calibri"/>
          <w:sz w:val="22"/>
          <w:szCs w:val="22"/>
        </w:rPr>
        <w:t>obdrží</w:t>
      </w:r>
      <w:proofErr w:type="gramEnd"/>
      <w:r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lastRenderedPageBreak/>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w:t>
      </w:r>
      <w:r w:rsidR="0022356A">
        <w:rPr>
          <w:rFonts w:ascii="Calibri" w:hAnsi="Calibri" w:cs="Calibri"/>
          <w:sz w:val="22"/>
          <w:szCs w:val="22"/>
        </w:rPr>
        <w:lastRenderedPageBreak/>
        <w:t>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ocumentProtection w:edit="readOnly" w:formatting="1" w:enforcement="0"/>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7C2D"/>
    <w:rsid w:val="00054942"/>
    <w:rsid w:val="0005536E"/>
    <w:rsid w:val="00074CC0"/>
    <w:rsid w:val="00076408"/>
    <w:rsid w:val="00090272"/>
    <w:rsid w:val="00091376"/>
    <w:rsid w:val="00096DC0"/>
    <w:rsid w:val="000A2A80"/>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473E4"/>
    <w:rsid w:val="00253009"/>
    <w:rsid w:val="002610E5"/>
    <w:rsid w:val="002773A8"/>
    <w:rsid w:val="00280BF4"/>
    <w:rsid w:val="00292BB6"/>
    <w:rsid w:val="0029689E"/>
    <w:rsid w:val="00296D0F"/>
    <w:rsid w:val="002A13E7"/>
    <w:rsid w:val="002B0BFC"/>
    <w:rsid w:val="002B1D08"/>
    <w:rsid w:val="002B6872"/>
    <w:rsid w:val="002C7B5A"/>
    <w:rsid w:val="002E016F"/>
    <w:rsid w:val="003039ED"/>
    <w:rsid w:val="0030471B"/>
    <w:rsid w:val="00312BAF"/>
    <w:rsid w:val="00315171"/>
    <w:rsid w:val="00323DA3"/>
    <w:rsid w:val="00326A90"/>
    <w:rsid w:val="003320BF"/>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41166"/>
    <w:rsid w:val="00451BF0"/>
    <w:rsid w:val="00451D4D"/>
    <w:rsid w:val="00452385"/>
    <w:rsid w:val="004559E2"/>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12638"/>
    <w:rsid w:val="00526338"/>
    <w:rsid w:val="00533BE6"/>
    <w:rsid w:val="005370F5"/>
    <w:rsid w:val="00543774"/>
    <w:rsid w:val="00564109"/>
    <w:rsid w:val="005674B9"/>
    <w:rsid w:val="0058153E"/>
    <w:rsid w:val="005920BC"/>
    <w:rsid w:val="005939C0"/>
    <w:rsid w:val="005A4EDB"/>
    <w:rsid w:val="005A56A6"/>
    <w:rsid w:val="005B26ED"/>
    <w:rsid w:val="005D02F6"/>
    <w:rsid w:val="005E0F36"/>
    <w:rsid w:val="005F38F7"/>
    <w:rsid w:val="00611F02"/>
    <w:rsid w:val="006203D5"/>
    <w:rsid w:val="006220DA"/>
    <w:rsid w:val="00632931"/>
    <w:rsid w:val="00645BB4"/>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788D"/>
    <w:rsid w:val="007247D4"/>
    <w:rsid w:val="00724DD2"/>
    <w:rsid w:val="007460F2"/>
    <w:rsid w:val="00762523"/>
    <w:rsid w:val="00766540"/>
    <w:rsid w:val="00784765"/>
    <w:rsid w:val="00787886"/>
    <w:rsid w:val="007B3091"/>
    <w:rsid w:val="007B41BD"/>
    <w:rsid w:val="007B4D89"/>
    <w:rsid w:val="007B7F5F"/>
    <w:rsid w:val="007D44FA"/>
    <w:rsid w:val="007F44DE"/>
    <w:rsid w:val="007F5689"/>
    <w:rsid w:val="007F5FB4"/>
    <w:rsid w:val="0080214E"/>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86E63"/>
    <w:rsid w:val="00991E2E"/>
    <w:rsid w:val="009940AA"/>
    <w:rsid w:val="00994B41"/>
    <w:rsid w:val="0099587F"/>
    <w:rsid w:val="00997989"/>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67959"/>
    <w:rsid w:val="00A710B6"/>
    <w:rsid w:val="00A83D47"/>
    <w:rsid w:val="00A96A4F"/>
    <w:rsid w:val="00AA5D7B"/>
    <w:rsid w:val="00AA7707"/>
    <w:rsid w:val="00AC1CA0"/>
    <w:rsid w:val="00AD38CB"/>
    <w:rsid w:val="00AE4FC2"/>
    <w:rsid w:val="00AF4E1E"/>
    <w:rsid w:val="00B07760"/>
    <w:rsid w:val="00B27F6E"/>
    <w:rsid w:val="00B33D87"/>
    <w:rsid w:val="00B50C12"/>
    <w:rsid w:val="00B52085"/>
    <w:rsid w:val="00B52E0B"/>
    <w:rsid w:val="00B7377A"/>
    <w:rsid w:val="00B8223A"/>
    <w:rsid w:val="00BA12C2"/>
    <w:rsid w:val="00BA57EC"/>
    <w:rsid w:val="00BB3965"/>
    <w:rsid w:val="00BB6BA8"/>
    <w:rsid w:val="00BC054F"/>
    <w:rsid w:val="00BD127F"/>
    <w:rsid w:val="00BD15CD"/>
    <w:rsid w:val="00BE4A74"/>
    <w:rsid w:val="00BE64AC"/>
    <w:rsid w:val="00C161A7"/>
    <w:rsid w:val="00C21D94"/>
    <w:rsid w:val="00C33878"/>
    <w:rsid w:val="00C46220"/>
    <w:rsid w:val="00C466D1"/>
    <w:rsid w:val="00C51832"/>
    <w:rsid w:val="00C5256A"/>
    <w:rsid w:val="00C546CB"/>
    <w:rsid w:val="00C64C60"/>
    <w:rsid w:val="00C77162"/>
    <w:rsid w:val="00C82102"/>
    <w:rsid w:val="00C822F1"/>
    <w:rsid w:val="00CA21CF"/>
    <w:rsid w:val="00CA27B1"/>
    <w:rsid w:val="00CA6E9E"/>
    <w:rsid w:val="00CC2638"/>
    <w:rsid w:val="00CC4A8C"/>
    <w:rsid w:val="00CD171D"/>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BCF"/>
    <w:rsid w:val="00D67A3D"/>
    <w:rsid w:val="00D91251"/>
    <w:rsid w:val="00D96513"/>
    <w:rsid w:val="00DD1CE0"/>
    <w:rsid w:val="00DD641C"/>
    <w:rsid w:val="00DD782B"/>
    <w:rsid w:val="00DE3207"/>
    <w:rsid w:val="00DE38CA"/>
    <w:rsid w:val="00E04AA8"/>
    <w:rsid w:val="00E1269F"/>
    <w:rsid w:val="00E16C66"/>
    <w:rsid w:val="00E174BC"/>
    <w:rsid w:val="00E21566"/>
    <w:rsid w:val="00E36031"/>
    <w:rsid w:val="00E37F4D"/>
    <w:rsid w:val="00E4278A"/>
    <w:rsid w:val="00E50C8E"/>
    <w:rsid w:val="00E512B0"/>
    <w:rsid w:val="00E51AB2"/>
    <w:rsid w:val="00E52F12"/>
    <w:rsid w:val="00E70C67"/>
    <w:rsid w:val="00E81ADB"/>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29FE"/>
    <w:rsid w:val="00FC5374"/>
    <w:rsid w:val="00FD3C6A"/>
    <w:rsid w:val="00FD4231"/>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8</Pages>
  <Words>3361</Words>
  <Characters>19830</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9</cp:revision>
  <cp:lastPrinted>2018-05-18T08:11:00Z</cp:lastPrinted>
  <dcterms:created xsi:type="dcterms:W3CDTF">2024-04-28T18:23:00Z</dcterms:created>
  <dcterms:modified xsi:type="dcterms:W3CDTF">2024-05-13T22:59:00Z</dcterms:modified>
</cp:coreProperties>
</file>