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A800C" w14:textId="4CAB2AA6" w:rsidR="00E204A5" w:rsidRPr="008F369B"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w:t>
      </w:r>
      <w:r w:rsidR="00245EF7">
        <w:rPr>
          <w:rFonts w:ascii="Calibri" w:eastAsia="Calibri" w:hAnsi="Calibri" w:cs="Arial"/>
          <w:b/>
          <w:sz w:val="28"/>
          <w:szCs w:val="28"/>
          <w:lang w:eastAsia="en-US"/>
        </w:rPr>
        <w:t>pro část 1 veřejné zakázky</w:t>
      </w:r>
    </w:p>
    <w:p w14:paraId="3CD8A83E" w14:textId="77777777" w:rsidR="00245EF7" w:rsidRDefault="00245EF7">
      <w:pPr>
        <w:jc w:val="both"/>
        <w:outlineLvl w:val="0"/>
        <w:rPr>
          <w:rFonts w:ascii="Calibri" w:hAnsi="Calibri"/>
          <w:b/>
          <w:sz w:val="28"/>
          <w:szCs w:val="28"/>
        </w:rPr>
      </w:pPr>
    </w:p>
    <w:p w14:paraId="7BAF09CC" w14:textId="5E59FA00"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tvoří nedílnou součást nabídky účastníka zadávacího řízení.</w:t>
      </w:r>
    </w:p>
    <w:p w14:paraId="0EBF4835" w14:textId="77777777" w:rsidR="00245EF7" w:rsidRDefault="00245EF7">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01353EAE" w:rsidR="00E204A5" w:rsidRPr="000328BA" w:rsidRDefault="00B4756D">
      <w:pPr>
        <w:shd w:val="clear" w:color="auto" w:fill="FFD966" w:themeFill="accent4" w:themeFillTint="99"/>
        <w:rPr>
          <w:rFonts w:ascii="Calibri" w:hAnsi="Calibri" w:cs="Arial"/>
          <w:b/>
          <w:sz w:val="24"/>
        </w:rPr>
      </w:pPr>
      <w:r w:rsidRPr="00B4756D">
        <w:rPr>
          <w:rFonts w:ascii="Calibri" w:hAnsi="Calibri" w:cs="Arial"/>
          <w:b/>
          <w:sz w:val="24"/>
        </w:rPr>
        <w:t xml:space="preserve">Novorozenecké inkubátory </w:t>
      </w:r>
    </w:p>
    <w:p w14:paraId="58B89486" w14:textId="77777777" w:rsidR="00E204A5" w:rsidRDefault="00E204A5">
      <w:pPr>
        <w:jc w:val="both"/>
        <w:rPr>
          <w:rFonts w:asciiTheme="minorHAnsi" w:hAnsiTheme="minorHAnsi" w:cs="Arial"/>
          <w:b/>
          <w:bCs/>
          <w:sz w:val="24"/>
        </w:rPr>
      </w:pPr>
    </w:p>
    <w:p w14:paraId="4E0658EE" w14:textId="50C18C67" w:rsidR="00245EF7" w:rsidRDefault="00245EF7" w:rsidP="00245EF7">
      <w:pPr>
        <w:shd w:val="clear" w:color="auto" w:fill="C5E0B3" w:themeFill="accent6" w:themeFillTint="66"/>
        <w:jc w:val="both"/>
        <w:rPr>
          <w:rFonts w:ascii="Calibri" w:hAnsi="Calibri" w:cs="Arial"/>
          <w:b/>
          <w:sz w:val="24"/>
        </w:rPr>
      </w:pPr>
      <w:r>
        <w:rPr>
          <w:rFonts w:ascii="Calibri" w:hAnsi="Calibri" w:cs="Arial"/>
          <w:b/>
          <w:sz w:val="24"/>
        </w:rPr>
        <w:t xml:space="preserve">Název </w:t>
      </w:r>
      <w:r>
        <w:rPr>
          <w:rFonts w:ascii="Calibri" w:hAnsi="Calibri" w:cs="Arial"/>
          <w:b/>
          <w:sz w:val="24"/>
        </w:rPr>
        <w:t xml:space="preserve">části 1 </w:t>
      </w:r>
      <w:r>
        <w:rPr>
          <w:rFonts w:ascii="Calibri" w:hAnsi="Calibri" w:cs="Arial"/>
          <w:b/>
          <w:sz w:val="24"/>
        </w:rPr>
        <w:t>veřejné zakázky:</w:t>
      </w:r>
    </w:p>
    <w:p w14:paraId="68A2B9D8" w14:textId="736FA483" w:rsidR="00245EF7" w:rsidRDefault="00245EF7" w:rsidP="00245EF7">
      <w:pPr>
        <w:shd w:val="clear" w:color="auto" w:fill="C5E0B3" w:themeFill="accent6" w:themeFillTint="66"/>
        <w:jc w:val="both"/>
        <w:rPr>
          <w:rFonts w:asciiTheme="minorHAnsi" w:hAnsiTheme="minorHAnsi" w:cs="Arial"/>
          <w:b/>
          <w:bCs/>
          <w:sz w:val="24"/>
        </w:rPr>
      </w:pPr>
      <w:r w:rsidRPr="00245EF7">
        <w:rPr>
          <w:rFonts w:asciiTheme="minorHAnsi" w:hAnsiTheme="minorHAnsi" w:cs="Arial"/>
          <w:b/>
          <w:bCs/>
          <w:sz w:val="24"/>
        </w:rPr>
        <w:t xml:space="preserve">Novorozenecké inkubátory pro Pardubickou nemocnici </w:t>
      </w:r>
    </w:p>
    <w:p w14:paraId="7E4A3DE4" w14:textId="77777777" w:rsidR="00245EF7" w:rsidRDefault="00245EF7">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6CBB2395" w14:textId="10CE9FFE" w:rsidR="00702EA9"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08FC68" w14:textId="77777777" w:rsidR="00245EF7" w:rsidRDefault="00245EF7">
      <w:pPr>
        <w:jc w:val="both"/>
        <w:rPr>
          <w:rFonts w:asciiTheme="minorHAnsi" w:hAnsiTheme="minorHAnsi" w:cstheme="minorHAnsi"/>
          <w:sz w:val="22"/>
          <w:szCs w:val="22"/>
        </w:rPr>
      </w:pPr>
    </w:p>
    <w:p w14:paraId="1AF3EF0A" w14:textId="5D1F3204" w:rsidR="00396BD9" w:rsidRDefault="00B94A1B" w:rsidP="00245EF7">
      <w:pPr>
        <w:pStyle w:val="Nadpis2"/>
        <w:rPr>
          <w:sz w:val="28"/>
          <w:szCs w:val="28"/>
        </w:rPr>
      </w:pPr>
      <w:r>
        <w:rPr>
          <w:sz w:val="28"/>
          <w:szCs w:val="28"/>
        </w:rPr>
        <w:t>Technické parametry</w:t>
      </w:r>
    </w:p>
    <w:p w14:paraId="354E4860" w14:textId="77777777" w:rsidR="00245EF7" w:rsidRPr="00245EF7" w:rsidRDefault="00245EF7" w:rsidP="00245EF7">
      <w:pPr>
        <w:rPr>
          <w:lang w:eastAsia="en-US"/>
        </w:rPr>
      </w:pPr>
    </w:p>
    <w:tbl>
      <w:tblPr>
        <w:tblStyle w:val="Mkatabulky"/>
        <w:tblpPr w:leftFromText="141" w:rightFromText="141" w:vertAnchor="text" w:tblpY="1"/>
        <w:tblOverlap w:val="never"/>
        <w:tblW w:w="9498" w:type="dxa"/>
        <w:tblLayout w:type="fixed"/>
        <w:tblLook w:val="04A0" w:firstRow="1" w:lastRow="0" w:firstColumn="1" w:lastColumn="0" w:noHBand="0" w:noVBand="1"/>
      </w:tblPr>
      <w:tblGrid>
        <w:gridCol w:w="5100"/>
        <w:gridCol w:w="1559"/>
        <w:gridCol w:w="2839"/>
      </w:tblGrid>
      <w:tr w:rsidR="006E27FD" w14:paraId="110CD215" w14:textId="77777777" w:rsidTr="000328BA">
        <w:trPr>
          <w:cantSplit/>
          <w:trHeight w:val="387"/>
        </w:trPr>
        <w:tc>
          <w:tcPr>
            <w:tcW w:w="5100" w:type="dxa"/>
            <w:shd w:val="clear" w:color="auto" w:fill="BDD6EE" w:themeFill="accent1" w:themeFillTint="66"/>
            <w:vAlign w:val="center"/>
          </w:tcPr>
          <w:p w14:paraId="54808BA8" w14:textId="77777777" w:rsidR="006E27FD" w:rsidRDefault="006E27FD" w:rsidP="000328BA">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398" w:type="dxa"/>
            <w:gridSpan w:val="2"/>
            <w:shd w:val="clear" w:color="auto" w:fill="BDD6EE" w:themeFill="accent1" w:themeFillTint="66"/>
            <w:vAlign w:val="center"/>
          </w:tcPr>
          <w:p w14:paraId="627A8352" w14:textId="6FEEA2F5" w:rsidR="006E27FD" w:rsidRPr="00160D1F" w:rsidRDefault="00B4756D" w:rsidP="00160D1F">
            <w:pPr>
              <w:rPr>
                <w:rFonts w:asciiTheme="minorHAnsi" w:hAnsiTheme="minorHAnsi"/>
                <w:b/>
                <w:sz w:val="22"/>
              </w:rPr>
            </w:pPr>
            <w:r w:rsidRPr="00B4756D">
              <w:rPr>
                <w:rFonts w:ascii="Calibri" w:hAnsi="Calibri" w:cs="Arial"/>
                <w:b/>
                <w:sz w:val="24"/>
              </w:rPr>
              <w:t>Novorozeneck</w:t>
            </w:r>
            <w:r w:rsidR="006C603D">
              <w:rPr>
                <w:rFonts w:ascii="Calibri" w:hAnsi="Calibri" w:cs="Arial"/>
                <w:b/>
                <w:sz w:val="24"/>
              </w:rPr>
              <w:t>ý</w:t>
            </w:r>
            <w:r w:rsidRPr="00B4756D">
              <w:rPr>
                <w:rFonts w:ascii="Calibri" w:hAnsi="Calibri" w:cs="Arial"/>
                <w:b/>
                <w:sz w:val="24"/>
              </w:rPr>
              <w:t xml:space="preserve"> inkubátor</w:t>
            </w:r>
            <w:r>
              <w:rPr>
                <w:rFonts w:ascii="Calibri" w:hAnsi="Calibri" w:cs="Arial"/>
                <w:b/>
                <w:sz w:val="24"/>
              </w:rPr>
              <w:t xml:space="preserve"> </w:t>
            </w:r>
            <w:r w:rsidR="00245EF7">
              <w:rPr>
                <w:rFonts w:ascii="Calibri" w:hAnsi="Calibri" w:cs="Arial"/>
                <w:b/>
                <w:sz w:val="24"/>
              </w:rPr>
              <w:t xml:space="preserve">- </w:t>
            </w:r>
            <w:r>
              <w:rPr>
                <w:rFonts w:ascii="Calibri" w:hAnsi="Calibri" w:cs="Arial"/>
                <w:b/>
                <w:sz w:val="24"/>
              </w:rPr>
              <w:t>2 ks</w:t>
            </w:r>
          </w:p>
        </w:tc>
      </w:tr>
      <w:tr w:rsidR="006E27FD" w14:paraId="3EA8C5C6" w14:textId="77777777" w:rsidTr="000328BA">
        <w:trPr>
          <w:cantSplit/>
        </w:trPr>
        <w:tc>
          <w:tcPr>
            <w:tcW w:w="5100" w:type="dxa"/>
            <w:tcBorders>
              <w:bottom w:val="single" w:sz="4" w:space="0" w:color="auto"/>
            </w:tcBorders>
            <w:shd w:val="clear" w:color="auto" w:fill="F7CAAC" w:themeFill="accent2" w:themeFillTint="66"/>
          </w:tcPr>
          <w:p w14:paraId="33E43BAF" w14:textId="77777777" w:rsidR="006E27FD" w:rsidRDefault="006E27FD" w:rsidP="000328BA">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559" w:type="dxa"/>
            <w:shd w:val="clear" w:color="auto" w:fill="F7CAAC" w:themeFill="accent2" w:themeFillTint="66"/>
          </w:tcPr>
          <w:p w14:paraId="55D26A0F" w14:textId="77777777" w:rsidR="006E27FD" w:rsidRDefault="006E27FD" w:rsidP="000328BA">
            <w:pPr>
              <w:jc w:val="center"/>
              <w:rPr>
                <w:rFonts w:asciiTheme="minorHAnsi" w:hAnsiTheme="minorHAnsi"/>
                <w:b/>
                <w:sz w:val="22"/>
              </w:rPr>
            </w:pPr>
            <w:r>
              <w:rPr>
                <w:rFonts w:asciiTheme="minorHAnsi" w:hAnsiTheme="minorHAnsi"/>
                <w:b/>
                <w:sz w:val="22"/>
              </w:rPr>
              <w:t>Splnění požadavku ANO/NE</w:t>
            </w:r>
          </w:p>
          <w:p w14:paraId="043BB837" w14:textId="77777777" w:rsidR="006E27FD" w:rsidRDefault="006E27FD" w:rsidP="000328BA">
            <w:pPr>
              <w:jc w:val="center"/>
              <w:rPr>
                <w:rFonts w:asciiTheme="minorHAnsi" w:hAnsiTheme="minorHAnsi"/>
                <w:b/>
                <w:sz w:val="22"/>
              </w:rPr>
            </w:pPr>
            <w:r>
              <w:rPr>
                <w:rFonts w:ascii="Calibri" w:hAnsi="Calibri"/>
                <w:b/>
                <w:sz w:val="16"/>
                <w:szCs w:val="16"/>
              </w:rPr>
              <w:t>(nutno uvést požadované údaje)</w:t>
            </w:r>
          </w:p>
        </w:tc>
        <w:tc>
          <w:tcPr>
            <w:tcW w:w="2839" w:type="dxa"/>
            <w:shd w:val="clear" w:color="auto" w:fill="F7CAAC" w:themeFill="accent2" w:themeFillTint="66"/>
          </w:tcPr>
          <w:p w14:paraId="0216C5A4" w14:textId="77777777" w:rsidR="006E27FD" w:rsidRDefault="006E27FD" w:rsidP="000328BA">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8F369B" w14:paraId="0C3EB92E" w14:textId="77777777" w:rsidTr="00B55012">
        <w:trPr>
          <w:trHeight w:val="260"/>
        </w:trPr>
        <w:tc>
          <w:tcPr>
            <w:tcW w:w="9498" w:type="dxa"/>
            <w:gridSpan w:val="3"/>
            <w:shd w:val="clear" w:color="auto" w:fill="D9D9D9" w:themeFill="background1" w:themeFillShade="D9"/>
          </w:tcPr>
          <w:p w14:paraId="2F6336EC" w14:textId="2F2B10B1" w:rsidR="008F369B" w:rsidRDefault="00B4756D" w:rsidP="008F369B">
            <w:pPr>
              <w:rPr>
                <w:rFonts w:ascii="Calibri" w:hAnsi="Calibri" w:cs="Calibri"/>
                <w:color w:val="FF0000"/>
                <w:szCs w:val="20"/>
                <w:lang w:eastAsia="en-US"/>
              </w:rPr>
            </w:pPr>
            <w:r>
              <w:rPr>
                <w:rFonts w:cs="Arial"/>
                <w:b/>
                <w:bCs/>
                <w:szCs w:val="20"/>
              </w:rPr>
              <w:t>Charakteristika novorozeneckého inkubátoru</w:t>
            </w:r>
          </w:p>
        </w:tc>
      </w:tr>
      <w:tr w:rsidR="00B4756D" w14:paraId="45CF9964" w14:textId="77777777" w:rsidTr="00665FC4">
        <w:trPr>
          <w:trHeight w:val="476"/>
        </w:trPr>
        <w:tc>
          <w:tcPr>
            <w:tcW w:w="5100" w:type="dxa"/>
          </w:tcPr>
          <w:p w14:paraId="159800BD" w14:textId="495DB0C3" w:rsidR="00B4756D" w:rsidRDefault="00B4756D" w:rsidP="00B4756D">
            <w:pPr>
              <w:autoSpaceDE w:val="0"/>
              <w:autoSpaceDN w:val="0"/>
              <w:adjustRightInd w:val="0"/>
              <w:rPr>
                <w:rFonts w:ascii="MyriadPro-Regular" w:eastAsiaTheme="minorHAnsi" w:hAnsi="MyriadPro-Regular" w:cs="MyriadPro-Regular"/>
                <w:sz w:val="22"/>
                <w:szCs w:val="22"/>
                <w:lang w:eastAsia="en-US"/>
              </w:rPr>
            </w:pPr>
            <w:r>
              <w:t>Modulární inkubátor vhodný pro provoz perinatologického centra intermediální péče s vhodným prostředím pro nejmenší nedonošené novorozence, s možnosti regulace a monitorace teploty, vlhkosti a kyslíku.</w:t>
            </w:r>
          </w:p>
        </w:tc>
        <w:tc>
          <w:tcPr>
            <w:tcW w:w="1559" w:type="dxa"/>
            <w:vAlign w:val="center"/>
          </w:tcPr>
          <w:p w14:paraId="03611114" w14:textId="4D27AF85"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tcPr>
          <w:p w14:paraId="3DD8EB81" w14:textId="4576FA29"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r>
      <w:tr w:rsidR="008F369B" w14:paraId="57297B9E" w14:textId="77777777" w:rsidTr="008F369B">
        <w:trPr>
          <w:trHeight w:val="280"/>
        </w:trPr>
        <w:tc>
          <w:tcPr>
            <w:tcW w:w="9498" w:type="dxa"/>
            <w:gridSpan w:val="3"/>
            <w:shd w:val="clear" w:color="auto" w:fill="D9D9D9" w:themeFill="background1" w:themeFillShade="D9"/>
            <w:vAlign w:val="center"/>
            <w:hideMark/>
          </w:tcPr>
          <w:p w14:paraId="7BE9E600" w14:textId="5661A1BF" w:rsidR="008F369B" w:rsidRDefault="00B4756D" w:rsidP="008F369B">
            <w:pPr>
              <w:rPr>
                <w:rFonts w:ascii="Calibri" w:hAnsi="Calibri" w:cs="Calibri"/>
                <w:color w:val="FF0000"/>
                <w:szCs w:val="20"/>
                <w:lang w:eastAsia="en-US"/>
              </w:rPr>
            </w:pPr>
            <w:r>
              <w:rPr>
                <w:rFonts w:cs="Arial"/>
                <w:b/>
                <w:bCs/>
                <w:szCs w:val="20"/>
              </w:rPr>
              <w:t>Novorozenecký inkubátor</w:t>
            </w:r>
          </w:p>
        </w:tc>
      </w:tr>
      <w:tr w:rsidR="00B4756D" w14:paraId="5979BF95" w14:textId="77777777" w:rsidTr="005C45E1">
        <w:trPr>
          <w:trHeight w:val="476"/>
        </w:trPr>
        <w:tc>
          <w:tcPr>
            <w:tcW w:w="5100" w:type="dxa"/>
            <w:hideMark/>
          </w:tcPr>
          <w:p w14:paraId="6D7852B5" w14:textId="1015ED7B" w:rsidR="00B4756D" w:rsidRDefault="00B4756D" w:rsidP="00B4756D">
            <w:pPr>
              <w:autoSpaceDE w:val="0"/>
              <w:autoSpaceDN w:val="0"/>
              <w:adjustRightInd w:val="0"/>
              <w:rPr>
                <w:rFonts w:ascii="MyriadPro-Regular" w:eastAsiaTheme="minorHAnsi" w:hAnsi="MyriadPro-Regular" w:cs="MyriadPro-Regular"/>
                <w:sz w:val="22"/>
                <w:lang w:eastAsia="en-US"/>
              </w:rPr>
            </w:pPr>
            <w:r>
              <w:rPr>
                <w:rFonts w:cs="Arial"/>
                <w:szCs w:val="20"/>
              </w:rPr>
              <w:t>Obdélníkový půdorys s minimálně dvojitými průhlednými stěnami</w:t>
            </w:r>
          </w:p>
        </w:tc>
        <w:tc>
          <w:tcPr>
            <w:tcW w:w="1559" w:type="dxa"/>
            <w:vAlign w:val="center"/>
            <w:hideMark/>
          </w:tcPr>
          <w:p w14:paraId="3C09E2B0" w14:textId="3C2ABCB3"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624A5A5E" w14:textId="6AB86B79"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r>
      <w:tr w:rsidR="00B4756D" w14:paraId="4D1AA800" w14:textId="77777777" w:rsidTr="005C45E1">
        <w:trPr>
          <w:trHeight w:val="476"/>
        </w:trPr>
        <w:tc>
          <w:tcPr>
            <w:tcW w:w="5100" w:type="dxa"/>
            <w:hideMark/>
          </w:tcPr>
          <w:p w14:paraId="2EB7A580" w14:textId="59116C65" w:rsidR="00B4756D" w:rsidRDefault="00B4756D" w:rsidP="00B4756D">
            <w:pPr>
              <w:autoSpaceDE w:val="0"/>
              <w:autoSpaceDN w:val="0"/>
              <w:adjustRightInd w:val="0"/>
              <w:rPr>
                <w:rFonts w:ascii="MyriadPro-Regular" w:eastAsiaTheme="minorHAnsi" w:hAnsi="MyriadPro-Regular" w:cs="MyriadPro-Regular"/>
                <w:sz w:val="22"/>
                <w:lang w:eastAsia="en-US"/>
              </w:rPr>
            </w:pPr>
            <w:r>
              <w:rPr>
                <w:rFonts w:cs="Arial"/>
                <w:szCs w:val="20"/>
              </w:rPr>
              <w:t>Elektricky, výškově stavitelný podvozek s odkládacími prostory, které musí být formou výklopných šuplíků</w:t>
            </w:r>
          </w:p>
        </w:tc>
        <w:tc>
          <w:tcPr>
            <w:tcW w:w="1559" w:type="dxa"/>
            <w:vAlign w:val="center"/>
            <w:hideMark/>
          </w:tcPr>
          <w:p w14:paraId="5654E854" w14:textId="7EA42277"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1261CDA3" w14:textId="0462F601"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r>
      <w:tr w:rsidR="00B4756D" w14:paraId="5F82AEAE" w14:textId="77777777" w:rsidTr="005C45E1">
        <w:trPr>
          <w:trHeight w:val="476"/>
        </w:trPr>
        <w:tc>
          <w:tcPr>
            <w:tcW w:w="5100" w:type="dxa"/>
            <w:hideMark/>
          </w:tcPr>
          <w:p w14:paraId="12ABF446" w14:textId="6253854B" w:rsidR="00B4756D" w:rsidRDefault="00B4756D" w:rsidP="00B4756D">
            <w:pPr>
              <w:autoSpaceDE w:val="0"/>
              <w:autoSpaceDN w:val="0"/>
              <w:adjustRightInd w:val="0"/>
              <w:rPr>
                <w:rFonts w:ascii="MyriadPro-Regular" w:eastAsiaTheme="minorHAnsi" w:hAnsi="MyriadPro-Regular" w:cs="MyriadPro-Regular"/>
                <w:sz w:val="22"/>
                <w:lang w:eastAsia="en-US"/>
              </w:rPr>
            </w:pPr>
            <w:r>
              <w:rPr>
                <w:rFonts w:cs="Arial"/>
                <w:szCs w:val="20"/>
              </w:rPr>
              <w:t>Hlučnost inkubátoru je nižší než 47 dB</w:t>
            </w:r>
          </w:p>
        </w:tc>
        <w:tc>
          <w:tcPr>
            <w:tcW w:w="1559" w:type="dxa"/>
            <w:vAlign w:val="center"/>
            <w:hideMark/>
          </w:tcPr>
          <w:p w14:paraId="69C6E6F6" w14:textId="206609FE"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0E975ACA" w14:textId="014E7F6D"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r>
      <w:tr w:rsidR="00B4756D" w14:paraId="684B3820" w14:textId="77777777" w:rsidTr="005C45E1">
        <w:trPr>
          <w:trHeight w:val="476"/>
        </w:trPr>
        <w:tc>
          <w:tcPr>
            <w:tcW w:w="5100" w:type="dxa"/>
            <w:hideMark/>
          </w:tcPr>
          <w:p w14:paraId="33742500" w14:textId="7F456759" w:rsidR="00B4756D" w:rsidRDefault="00B4756D" w:rsidP="00B4756D">
            <w:pPr>
              <w:autoSpaceDE w:val="0"/>
              <w:autoSpaceDN w:val="0"/>
              <w:adjustRightInd w:val="0"/>
              <w:rPr>
                <w:rFonts w:ascii="MyriadPro-Regular" w:eastAsiaTheme="minorHAnsi" w:hAnsi="MyriadPro-Regular" w:cs="MyriadPro-Regular"/>
                <w:sz w:val="22"/>
                <w:lang w:eastAsia="en-US"/>
              </w:rPr>
            </w:pPr>
            <w:r>
              <w:rPr>
                <w:rFonts w:cs="Arial"/>
                <w:szCs w:val="20"/>
              </w:rPr>
              <w:t xml:space="preserve">Ovládací panel se samostatným zobrazením nastavených a měřených hodnot </w:t>
            </w:r>
          </w:p>
        </w:tc>
        <w:tc>
          <w:tcPr>
            <w:tcW w:w="1559" w:type="dxa"/>
            <w:vAlign w:val="center"/>
            <w:hideMark/>
          </w:tcPr>
          <w:p w14:paraId="09BC3809" w14:textId="5F9ADAF7"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c>
          <w:tcPr>
            <w:tcW w:w="2839" w:type="dxa"/>
            <w:vAlign w:val="center"/>
            <w:hideMark/>
          </w:tcPr>
          <w:p w14:paraId="14BE6C3E" w14:textId="70E2142D" w:rsidR="00B4756D" w:rsidRDefault="00B4756D" w:rsidP="00B4756D">
            <w:pPr>
              <w:jc w:val="center"/>
              <w:rPr>
                <w:rFonts w:ascii="Calibri" w:hAnsi="Calibri" w:cs="Calibri"/>
                <w:color w:val="FF0000"/>
                <w:szCs w:val="20"/>
                <w:lang w:eastAsia="en-US"/>
              </w:rPr>
            </w:pPr>
            <w:r w:rsidRPr="009602D5">
              <w:rPr>
                <w:rFonts w:cs="Arial"/>
                <w:color w:val="FF0000"/>
                <w:szCs w:val="20"/>
              </w:rPr>
              <w:t>(doplní dodavatel)</w:t>
            </w:r>
          </w:p>
        </w:tc>
      </w:tr>
      <w:tr w:rsidR="00B4756D" w14:paraId="245FA07A" w14:textId="77777777" w:rsidTr="000328BA">
        <w:trPr>
          <w:trHeight w:val="476"/>
        </w:trPr>
        <w:tc>
          <w:tcPr>
            <w:tcW w:w="5100" w:type="dxa"/>
            <w:hideMark/>
          </w:tcPr>
          <w:p w14:paraId="28B506E8" w14:textId="54E4971C" w:rsidR="00B4756D" w:rsidRDefault="00B4756D" w:rsidP="00B4756D">
            <w:pPr>
              <w:autoSpaceDE w:val="0"/>
              <w:autoSpaceDN w:val="0"/>
              <w:adjustRightInd w:val="0"/>
              <w:rPr>
                <w:rFonts w:ascii="MyriadPro-Regular" w:eastAsiaTheme="minorHAnsi" w:hAnsi="MyriadPro-Regular" w:cs="MyriadPro-Regular"/>
                <w:sz w:val="22"/>
                <w:lang w:eastAsia="en-US"/>
              </w:rPr>
            </w:pPr>
            <w:r>
              <w:rPr>
                <w:rFonts w:cs="Arial"/>
                <w:szCs w:val="20"/>
              </w:rPr>
              <w:t xml:space="preserve">Režim automatické regulace dle teploty vzduchu, dle kožní teploty novorozence </w:t>
            </w:r>
          </w:p>
        </w:tc>
        <w:tc>
          <w:tcPr>
            <w:tcW w:w="1559" w:type="dxa"/>
            <w:hideMark/>
          </w:tcPr>
          <w:p w14:paraId="43D6BF9B" w14:textId="0EB6B057" w:rsidR="00B4756D" w:rsidRDefault="00B4756D" w:rsidP="00B4756D">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20818889" w14:textId="022E37EF" w:rsidR="00B4756D" w:rsidRDefault="00B4756D" w:rsidP="00B4756D">
            <w:pPr>
              <w:jc w:val="center"/>
              <w:rPr>
                <w:rFonts w:ascii="Calibri" w:hAnsi="Calibri" w:cs="Calibri"/>
                <w:color w:val="FF0000"/>
                <w:szCs w:val="20"/>
                <w:lang w:eastAsia="en-US"/>
              </w:rPr>
            </w:pPr>
            <w:r w:rsidRPr="002A4856">
              <w:rPr>
                <w:rFonts w:cs="Arial"/>
                <w:color w:val="FF0000"/>
                <w:szCs w:val="20"/>
              </w:rPr>
              <w:t>(doplní dodavatel)</w:t>
            </w:r>
          </w:p>
        </w:tc>
      </w:tr>
      <w:tr w:rsidR="00B4756D" w14:paraId="4737CD7A" w14:textId="77777777" w:rsidTr="000328BA">
        <w:trPr>
          <w:trHeight w:val="476"/>
        </w:trPr>
        <w:tc>
          <w:tcPr>
            <w:tcW w:w="5100" w:type="dxa"/>
            <w:hideMark/>
          </w:tcPr>
          <w:p w14:paraId="039C1E59" w14:textId="0F14890D" w:rsidR="00B4756D" w:rsidRDefault="00B4756D" w:rsidP="00B4756D">
            <w:pPr>
              <w:autoSpaceDE w:val="0"/>
              <w:autoSpaceDN w:val="0"/>
              <w:adjustRightInd w:val="0"/>
              <w:rPr>
                <w:rFonts w:ascii="MyriadPro-Regular" w:eastAsiaTheme="minorHAnsi" w:hAnsi="MyriadPro-Regular" w:cs="MyriadPro-Regular"/>
                <w:sz w:val="22"/>
                <w:lang w:eastAsia="en-US"/>
              </w:rPr>
            </w:pPr>
            <w:r>
              <w:rPr>
                <w:rFonts w:cs="Arial"/>
                <w:szCs w:val="20"/>
              </w:rPr>
              <w:t xml:space="preserve">Obousměrné proudění tepla aktivně vyhřívající stěny víka inkubátoru </w:t>
            </w:r>
          </w:p>
        </w:tc>
        <w:tc>
          <w:tcPr>
            <w:tcW w:w="1559" w:type="dxa"/>
            <w:hideMark/>
          </w:tcPr>
          <w:p w14:paraId="1744EE63" w14:textId="5709AA43" w:rsidR="00B4756D" w:rsidRDefault="00B4756D" w:rsidP="00B4756D">
            <w:pPr>
              <w:jc w:val="center"/>
              <w:rPr>
                <w:rFonts w:ascii="Calibri" w:hAnsi="Calibri" w:cs="Calibri"/>
                <w:color w:val="FF0000"/>
                <w:szCs w:val="20"/>
                <w:lang w:eastAsia="en-US"/>
              </w:rPr>
            </w:pPr>
            <w:r w:rsidRPr="0080741C">
              <w:rPr>
                <w:rFonts w:cs="Arial"/>
                <w:color w:val="FF0000"/>
                <w:szCs w:val="20"/>
              </w:rPr>
              <w:t>(doplní dodavatel)</w:t>
            </w:r>
          </w:p>
        </w:tc>
        <w:tc>
          <w:tcPr>
            <w:tcW w:w="2839" w:type="dxa"/>
            <w:hideMark/>
          </w:tcPr>
          <w:p w14:paraId="4A7A0C54" w14:textId="29322EEB" w:rsidR="00B4756D" w:rsidRDefault="00B4756D" w:rsidP="00B4756D">
            <w:pPr>
              <w:jc w:val="center"/>
              <w:rPr>
                <w:rFonts w:ascii="Calibri" w:hAnsi="Calibri" w:cs="Calibri"/>
                <w:color w:val="FF0000"/>
                <w:szCs w:val="20"/>
                <w:lang w:eastAsia="en-US"/>
              </w:rPr>
            </w:pPr>
            <w:r w:rsidRPr="0080741C">
              <w:rPr>
                <w:rFonts w:cs="Arial"/>
                <w:color w:val="FF0000"/>
                <w:szCs w:val="20"/>
              </w:rPr>
              <w:t>(doplní dodavatel)</w:t>
            </w:r>
          </w:p>
        </w:tc>
      </w:tr>
      <w:tr w:rsidR="00B4756D" w14:paraId="5C676086" w14:textId="77777777" w:rsidTr="000328BA">
        <w:trPr>
          <w:trHeight w:val="476"/>
        </w:trPr>
        <w:tc>
          <w:tcPr>
            <w:tcW w:w="5100" w:type="dxa"/>
            <w:hideMark/>
          </w:tcPr>
          <w:p w14:paraId="42D2AECA" w14:textId="4F936C28" w:rsidR="00B4756D" w:rsidRDefault="00B4756D" w:rsidP="00B4756D">
            <w:pPr>
              <w:autoSpaceDE w:val="0"/>
              <w:autoSpaceDN w:val="0"/>
              <w:adjustRightInd w:val="0"/>
              <w:rPr>
                <w:rFonts w:ascii="MyriadPro-Regular" w:eastAsiaTheme="minorHAnsi" w:hAnsi="MyriadPro-Regular" w:cs="MyriadPro-Regular"/>
                <w:sz w:val="22"/>
                <w:lang w:eastAsia="en-US"/>
              </w:rPr>
            </w:pPr>
            <w:r>
              <w:rPr>
                <w:rFonts w:cs="Arial"/>
                <w:szCs w:val="20"/>
              </w:rPr>
              <w:t>Servořízení zvlhčení včetně měření vlhkosti v inkubátoru</w:t>
            </w:r>
          </w:p>
        </w:tc>
        <w:tc>
          <w:tcPr>
            <w:tcW w:w="1559" w:type="dxa"/>
            <w:hideMark/>
          </w:tcPr>
          <w:p w14:paraId="278863AF" w14:textId="24C3F810" w:rsidR="00B4756D" w:rsidRDefault="00B4756D" w:rsidP="00B4756D">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3665046B" w14:textId="42E9226A" w:rsidR="00B4756D" w:rsidRDefault="00B4756D" w:rsidP="00B4756D">
            <w:pPr>
              <w:jc w:val="center"/>
              <w:rPr>
                <w:rFonts w:ascii="Calibri" w:hAnsi="Calibri" w:cs="Calibri"/>
                <w:color w:val="FF0000"/>
                <w:szCs w:val="20"/>
                <w:lang w:eastAsia="en-US"/>
              </w:rPr>
            </w:pPr>
            <w:r w:rsidRPr="002A4856">
              <w:rPr>
                <w:rFonts w:cs="Arial"/>
                <w:color w:val="FF0000"/>
                <w:szCs w:val="20"/>
              </w:rPr>
              <w:t>(doplní dodavatel)</w:t>
            </w:r>
          </w:p>
        </w:tc>
      </w:tr>
      <w:tr w:rsidR="00B4756D" w14:paraId="4AA3889F" w14:textId="77777777" w:rsidTr="000328BA">
        <w:trPr>
          <w:trHeight w:val="476"/>
        </w:trPr>
        <w:tc>
          <w:tcPr>
            <w:tcW w:w="5100" w:type="dxa"/>
            <w:hideMark/>
          </w:tcPr>
          <w:p w14:paraId="04EEE4DA" w14:textId="3E1C600E" w:rsidR="00B4756D" w:rsidRDefault="00B4756D" w:rsidP="00B4756D">
            <w:pPr>
              <w:autoSpaceDE w:val="0"/>
              <w:autoSpaceDN w:val="0"/>
              <w:adjustRightInd w:val="0"/>
              <w:rPr>
                <w:rFonts w:ascii="MyriadPro-Regular" w:eastAsiaTheme="minorHAnsi" w:hAnsi="MyriadPro-Regular" w:cs="MyriadPro-Regular"/>
                <w:sz w:val="22"/>
                <w:lang w:eastAsia="en-US"/>
              </w:rPr>
            </w:pPr>
            <w:r>
              <w:rPr>
                <w:rFonts w:cs="Arial"/>
                <w:szCs w:val="20"/>
              </w:rPr>
              <w:lastRenderedPageBreak/>
              <w:t>Otevírání velkého vstupního, čelního i zadního panelu</w:t>
            </w:r>
          </w:p>
        </w:tc>
        <w:tc>
          <w:tcPr>
            <w:tcW w:w="1559" w:type="dxa"/>
            <w:hideMark/>
          </w:tcPr>
          <w:p w14:paraId="5BCE2F73" w14:textId="7EF69CAA" w:rsidR="00B4756D" w:rsidRDefault="00B4756D" w:rsidP="00B4756D">
            <w:pPr>
              <w:jc w:val="center"/>
              <w:rPr>
                <w:rFonts w:ascii="Calibri" w:hAnsi="Calibri" w:cs="Calibri"/>
                <w:color w:val="FF0000"/>
                <w:szCs w:val="20"/>
                <w:lang w:eastAsia="en-US"/>
              </w:rPr>
            </w:pPr>
            <w:r w:rsidRPr="002A4856">
              <w:rPr>
                <w:rFonts w:cs="Arial"/>
                <w:color w:val="FF0000"/>
                <w:szCs w:val="20"/>
              </w:rPr>
              <w:t>(doplní dodavatel)</w:t>
            </w:r>
          </w:p>
        </w:tc>
        <w:tc>
          <w:tcPr>
            <w:tcW w:w="2839" w:type="dxa"/>
            <w:hideMark/>
          </w:tcPr>
          <w:p w14:paraId="0FFF27B8" w14:textId="4F8A072B" w:rsidR="00B4756D" w:rsidRDefault="00B4756D" w:rsidP="00B4756D">
            <w:pPr>
              <w:jc w:val="center"/>
              <w:rPr>
                <w:rFonts w:ascii="Calibri" w:hAnsi="Calibri" w:cs="Calibri"/>
                <w:color w:val="FF0000"/>
                <w:szCs w:val="20"/>
                <w:lang w:eastAsia="en-US"/>
              </w:rPr>
            </w:pPr>
            <w:r w:rsidRPr="002A4856">
              <w:rPr>
                <w:rFonts w:cs="Arial"/>
                <w:color w:val="FF0000"/>
                <w:szCs w:val="20"/>
              </w:rPr>
              <w:t>(doplní dodavatel)</w:t>
            </w:r>
          </w:p>
        </w:tc>
      </w:tr>
      <w:tr w:rsidR="00B4756D" w14:paraId="21142436" w14:textId="77777777" w:rsidTr="000328BA">
        <w:trPr>
          <w:trHeight w:val="476"/>
        </w:trPr>
        <w:tc>
          <w:tcPr>
            <w:tcW w:w="5100" w:type="dxa"/>
          </w:tcPr>
          <w:p w14:paraId="4CC15B0A" w14:textId="112B18AF" w:rsidR="00B4756D" w:rsidRDefault="00B4756D" w:rsidP="00B4756D">
            <w:pPr>
              <w:autoSpaceDE w:val="0"/>
              <w:autoSpaceDN w:val="0"/>
              <w:adjustRightInd w:val="0"/>
              <w:rPr>
                <w:rFonts w:cs="Arial"/>
                <w:szCs w:val="20"/>
              </w:rPr>
            </w:pPr>
            <w:r>
              <w:rPr>
                <w:rFonts w:cs="Arial"/>
                <w:szCs w:val="20"/>
              </w:rPr>
              <w:t>Alarmové světlo na víku</w:t>
            </w:r>
          </w:p>
        </w:tc>
        <w:tc>
          <w:tcPr>
            <w:tcW w:w="1559" w:type="dxa"/>
          </w:tcPr>
          <w:p w14:paraId="30CE6D0B" w14:textId="3D5EB6F5" w:rsidR="00B4756D" w:rsidRPr="002A4856" w:rsidRDefault="00B4756D" w:rsidP="00B4756D">
            <w:pPr>
              <w:jc w:val="center"/>
              <w:rPr>
                <w:rFonts w:cs="Arial"/>
                <w:color w:val="FF0000"/>
                <w:szCs w:val="20"/>
              </w:rPr>
            </w:pPr>
            <w:r w:rsidRPr="002A4856">
              <w:rPr>
                <w:rFonts w:cs="Arial"/>
                <w:color w:val="FF0000"/>
                <w:szCs w:val="20"/>
              </w:rPr>
              <w:t>(doplní dodavatel)</w:t>
            </w:r>
          </w:p>
        </w:tc>
        <w:tc>
          <w:tcPr>
            <w:tcW w:w="2839" w:type="dxa"/>
          </w:tcPr>
          <w:p w14:paraId="7A3A13BD" w14:textId="759DB67C" w:rsidR="00B4756D" w:rsidRPr="002A4856" w:rsidRDefault="00B4756D" w:rsidP="00B4756D">
            <w:pPr>
              <w:jc w:val="center"/>
              <w:rPr>
                <w:rFonts w:cs="Arial"/>
                <w:color w:val="FF0000"/>
                <w:szCs w:val="20"/>
              </w:rPr>
            </w:pPr>
            <w:r w:rsidRPr="002A4856">
              <w:rPr>
                <w:rFonts w:cs="Arial"/>
                <w:color w:val="FF0000"/>
                <w:szCs w:val="20"/>
              </w:rPr>
              <w:t>(doplní dodavatel)</w:t>
            </w:r>
          </w:p>
        </w:tc>
      </w:tr>
      <w:tr w:rsidR="00B4756D" w14:paraId="01E5D6E0" w14:textId="77777777" w:rsidTr="000328BA">
        <w:trPr>
          <w:trHeight w:val="476"/>
        </w:trPr>
        <w:tc>
          <w:tcPr>
            <w:tcW w:w="5100" w:type="dxa"/>
          </w:tcPr>
          <w:p w14:paraId="790FABB2" w14:textId="3E6E98F3" w:rsidR="00B4756D" w:rsidRDefault="00B4756D" w:rsidP="00B4756D">
            <w:pPr>
              <w:autoSpaceDE w:val="0"/>
              <w:autoSpaceDN w:val="0"/>
              <w:adjustRightInd w:val="0"/>
              <w:rPr>
                <w:rFonts w:cs="Arial"/>
                <w:szCs w:val="20"/>
              </w:rPr>
            </w:pPr>
            <w:r>
              <w:rPr>
                <w:rFonts w:cs="Arial"/>
                <w:szCs w:val="20"/>
              </w:rPr>
              <w:t>Držák na RTG kazetu</w:t>
            </w:r>
          </w:p>
        </w:tc>
        <w:tc>
          <w:tcPr>
            <w:tcW w:w="1559" w:type="dxa"/>
          </w:tcPr>
          <w:p w14:paraId="693AB576" w14:textId="33EE7D51" w:rsidR="00B4756D" w:rsidRPr="002A4856" w:rsidRDefault="00B4756D" w:rsidP="00B4756D">
            <w:pPr>
              <w:jc w:val="center"/>
              <w:rPr>
                <w:rFonts w:cs="Arial"/>
                <w:color w:val="FF0000"/>
                <w:szCs w:val="20"/>
              </w:rPr>
            </w:pPr>
            <w:r w:rsidRPr="002A4856">
              <w:rPr>
                <w:rFonts w:cs="Arial"/>
                <w:color w:val="FF0000"/>
                <w:szCs w:val="20"/>
              </w:rPr>
              <w:t>(doplní dodavatel)</w:t>
            </w:r>
          </w:p>
        </w:tc>
        <w:tc>
          <w:tcPr>
            <w:tcW w:w="2839" w:type="dxa"/>
          </w:tcPr>
          <w:p w14:paraId="0C505BFE" w14:textId="5F4A5A80" w:rsidR="00B4756D" w:rsidRPr="002A4856" w:rsidRDefault="00B4756D" w:rsidP="00B4756D">
            <w:pPr>
              <w:jc w:val="center"/>
              <w:rPr>
                <w:rFonts w:cs="Arial"/>
                <w:color w:val="FF0000"/>
                <w:szCs w:val="20"/>
              </w:rPr>
            </w:pPr>
            <w:r w:rsidRPr="002A4856">
              <w:rPr>
                <w:rFonts w:cs="Arial"/>
                <w:color w:val="FF0000"/>
                <w:szCs w:val="20"/>
              </w:rPr>
              <w:t>(doplní dodavatel)</w:t>
            </w:r>
          </w:p>
        </w:tc>
      </w:tr>
      <w:tr w:rsidR="00B4756D" w14:paraId="0C21EF0A" w14:textId="77777777" w:rsidTr="000328BA">
        <w:trPr>
          <w:trHeight w:val="476"/>
        </w:trPr>
        <w:tc>
          <w:tcPr>
            <w:tcW w:w="5100" w:type="dxa"/>
          </w:tcPr>
          <w:p w14:paraId="035B29F1" w14:textId="427EC4AE" w:rsidR="00B4756D" w:rsidRDefault="00B4756D" w:rsidP="00B4756D">
            <w:pPr>
              <w:autoSpaceDE w:val="0"/>
              <w:autoSpaceDN w:val="0"/>
              <w:adjustRightInd w:val="0"/>
              <w:rPr>
                <w:rFonts w:cs="Arial"/>
                <w:szCs w:val="20"/>
              </w:rPr>
            </w:pPr>
            <w:r>
              <w:rPr>
                <w:rFonts w:cs="Arial"/>
                <w:szCs w:val="20"/>
              </w:rPr>
              <w:t>Univerzální závěsný systém pro příslušenství</w:t>
            </w:r>
          </w:p>
        </w:tc>
        <w:tc>
          <w:tcPr>
            <w:tcW w:w="1559" w:type="dxa"/>
          </w:tcPr>
          <w:p w14:paraId="5B64ACA9" w14:textId="144C1B6F" w:rsidR="00B4756D" w:rsidRPr="002A4856" w:rsidRDefault="00B4756D" w:rsidP="00B4756D">
            <w:pPr>
              <w:jc w:val="center"/>
              <w:rPr>
                <w:rFonts w:cs="Arial"/>
                <w:color w:val="FF0000"/>
                <w:szCs w:val="20"/>
              </w:rPr>
            </w:pPr>
            <w:r w:rsidRPr="002A4856">
              <w:rPr>
                <w:rFonts w:cs="Arial"/>
                <w:color w:val="FF0000"/>
                <w:szCs w:val="20"/>
              </w:rPr>
              <w:t>(doplní dodavatel)</w:t>
            </w:r>
          </w:p>
        </w:tc>
        <w:tc>
          <w:tcPr>
            <w:tcW w:w="2839" w:type="dxa"/>
          </w:tcPr>
          <w:p w14:paraId="4040AC61" w14:textId="46C52B18" w:rsidR="00B4756D" w:rsidRPr="002A4856" w:rsidRDefault="00B4756D" w:rsidP="00B4756D">
            <w:pPr>
              <w:jc w:val="center"/>
              <w:rPr>
                <w:rFonts w:cs="Arial"/>
                <w:color w:val="FF0000"/>
                <w:szCs w:val="20"/>
              </w:rPr>
            </w:pPr>
            <w:r w:rsidRPr="002A4856">
              <w:rPr>
                <w:rFonts w:cs="Arial"/>
                <w:color w:val="FF0000"/>
                <w:szCs w:val="20"/>
              </w:rPr>
              <w:t>(doplní dodavatel)</w:t>
            </w:r>
          </w:p>
        </w:tc>
      </w:tr>
      <w:tr w:rsidR="00B4756D" w14:paraId="5C83A730" w14:textId="77777777" w:rsidTr="000328BA">
        <w:trPr>
          <w:trHeight w:val="476"/>
        </w:trPr>
        <w:tc>
          <w:tcPr>
            <w:tcW w:w="5100" w:type="dxa"/>
          </w:tcPr>
          <w:p w14:paraId="409DF50C" w14:textId="15131349" w:rsidR="00B4756D" w:rsidRDefault="00B4756D" w:rsidP="00B4756D">
            <w:pPr>
              <w:autoSpaceDE w:val="0"/>
              <w:autoSpaceDN w:val="0"/>
              <w:adjustRightInd w:val="0"/>
              <w:rPr>
                <w:rFonts w:cs="Arial"/>
                <w:szCs w:val="20"/>
              </w:rPr>
            </w:pPr>
            <w:r>
              <w:rPr>
                <w:rFonts w:cs="Arial"/>
                <w:szCs w:val="20"/>
              </w:rPr>
              <w:t>Plynulé, oboustranné mechanické polohování matrace z vnější čelní strany</w:t>
            </w:r>
          </w:p>
        </w:tc>
        <w:tc>
          <w:tcPr>
            <w:tcW w:w="1559" w:type="dxa"/>
          </w:tcPr>
          <w:p w14:paraId="06CE9691" w14:textId="17D789A6" w:rsidR="00B4756D" w:rsidRPr="002A4856" w:rsidRDefault="00B4756D" w:rsidP="00B4756D">
            <w:pPr>
              <w:jc w:val="center"/>
              <w:rPr>
                <w:rFonts w:cs="Arial"/>
                <w:color w:val="FF0000"/>
                <w:szCs w:val="20"/>
              </w:rPr>
            </w:pPr>
            <w:r w:rsidRPr="009602D5">
              <w:rPr>
                <w:rFonts w:cs="Arial"/>
                <w:color w:val="FF0000"/>
                <w:szCs w:val="20"/>
              </w:rPr>
              <w:t>(doplní dodavatel)</w:t>
            </w:r>
          </w:p>
        </w:tc>
        <w:tc>
          <w:tcPr>
            <w:tcW w:w="2839" w:type="dxa"/>
          </w:tcPr>
          <w:p w14:paraId="3E72FDE9" w14:textId="42C86CA3" w:rsidR="00B4756D" w:rsidRPr="002A4856" w:rsidRDefault="00B4756D" w:rsidP="00B4756D">
            <w:pPr>
              <w:jc w:val="center"/>
              <w:rPr>
                <w:rFonts w:cs="Arial"/>
                <w:color w:val="FF0000"/>
                <w:szCs w:val="20"/>
              </w:rPr>
            </w:pPr>
            <w:r w:rsidRPr="009602D5">
              <w:rPr>
                <w:rFonts w:cs="Arial"/>
                <w:color w:val="FF0000"/>
                <w:szCs w:val="20"/>
              </w:rPr>
              <w:t>(doplní dodavatel)</w:t>
            </w:r>
          </w:p>
        </w:tc>
      </w:tr>
      <w:tr w:rsidR="00B4756D" w14:paraId="193342AB" w14:textId="77777777" w:rsidTr="000328BA">
        <w:trPr>
          <w:trHeight w:val="476"/>
        </w:trPr>
        <w:tc>
          <w:tcPr>
            <w:tcW w:w="5100" w:type="dxa"/>
          </w:tcPr>
          <w:p w14:paraId="38811FE8" w14:textId="1DFC800F" w:rsidR="00B4756D" w:rsidRDefault="00B4756D" w:rsidP="00B4756D">
            <w:pPr>
              <w:autoSpaceDE w:val="0"/>
              <w:autoSpaceDN w:val="0"/>
              <w:adjustRightInd w:val="0"/>
              <w:rPr>
                <w:rFonts w:cs="Arial"/>
                <w:szCs w:val="20"/>
              </w:rPr>
            </w:pPr>
            <w:r>
              <w:rPr>
                <w:rFonts w:cs="Arial"/>
                <w:szCs w:val="20"/>
              </w:rPr>
              <w:t>Úplná viditelnost skrze víko inkubátoru, bez rohů, které by snižovaly jeho viditelnost</w:t>
            </w:r>
          </w:p>
        </w:tc>
        <w:tc>
          <w:tcPr>
            <w:tcW w:w="1559" w:type="dxa"/>
          </w:tcPr>
          <w:p w14:paraId="4CB1E17F" w14:textId="7AC986ED" w:rsidR="00B4756D" w:rsidRPr="002A4856" w:rsidRDefault="00B4756D" w:rsidP="00B4756D">
            <w:pPr>
              <w:jc w:val="center"/>
              <w:rPr>
                <w:rFonts w:cs="Arial"/>
                <w:color w:val="FF0000"/>
                <w:szCs w:val="20"/>
              </w:rPr>
            </w:pPr>
            <w:r w:rsidRPr="00891D87">
              <w:rPr>
                <w:rFonts w:cs="Arial"/>
                <w:color w:val="FF0000"/>
                <w:szCs w:val="20"/>
              </w:rPr>
              <w:t>(doplní dodavatel)</w:t>
            </w:r>
          </w:p>
        </w:tc>
        <w:tc>
          <w:tcPr>
            <w:tcW w:w="2839" w:type="dxa"/>
          </w:tcPr>
          <w:p w14:paraId="5F249349" w14:textId="204A3D3E" w:rsidR="00B4756D" w:rsidRPr="002A4856" w:rsidRDefault="00B4756D" w:rsidP="00B4756D">
            <w:pPr>
              <w:jc w:val="center"/>
              <w:rPr>
                <w:rFonts w:cs="Arial"/>
                <w:color w:val="FF0000"/>
                <w:szCs w:val="20"/>
              </w:rPr>
            </w:pPr>
            <w:r w:rsidRPr="00891D87">
              <w:rPr>
                <w:rFonts w:cs="Arial"/>
                <w:color w:val="FF0000"/>
                <w:szCs w:val="20"/>
              </w:rPr>
              <w:t>(doplní dodavatel)</w:t>
            </w:r>
          </w:p>
        </w:tc>
      </w:tr>
      <w:tr w:rsidR="00B4756D" w14:paraId="7EC50B45" w14:textId="77777777" w:rsidTr="000328BA">
        <w:trPr>
          <w:trHeight w:val="476"/>
        </w:trPr>
        <w:tc>
          <w:tcPr>
            <w:tcW w:w="5100" w:type="dxa"/>
          </w:tcPr>
          <w:p w14:paraId="612935BB" w14:textId="5B1C32D6" w:rsidR="00B4756D" w:rsidRDefault="00B4756D" w:rsidP="00B4756D">
            <w:pPr>
              <w:autoSpaceDE w:val="0"/>
              <w:autoSpaceDN w:val="0"/>
              <w:adjustRightInd w:val="0"/>
              <w:rPr>
                <w:rFonts w:cs="Arial"/>
                <w:szCs w:val="20"/>
              </w:rPr>
            </w:pPr>
            <w:r>
              <w:rPr>
                <w:rFonts w:cs="Arial"/>
                <w:szCs w:val="20"/>
              </w:rPr>
              <w:t>Možná kontrola znečištění filtru bez nutnosti demontáže krytu</w:t>
            </w:r>
          </w:p>
        </w:tc>
        <w:tc>
          <w:tcPr>
            <w:tcW w:w="1559" w:type="dxa"/>
          </w:tcPr>
          <w:p w14:paraId="04FF22E0" w14:textId="63D7283D" w:rsidR="00B4756D" w:rsidRPr="002A4856" w:rsidRDefault="00B4756D" w:rsidP="00B4756D">
            <w:pPr>
              <w:jc w:val="center"/>
              <w:rPr>
                <w:rFonts w:cs="Arial"/>
                <w:color w:val="FF0000"/>
                <w:szCs w:val="20"/>
              </w:rPr>
            </w:pPr>
            <w:r w:rsidRPr="009602D5">
              <w:rPr>
                <w:rFonts w:cs="Arial"/>
                <w:color w:val="FF0000"/>
                <w:szCs w:val="20"/>
              </w:rPr>
              <w:t>(doplní dodavatel)</w:t>
            </w:r>
          </w:p>
        </w:tc>
        <w:tc>
          <w:tcPr>
            <w:tcW w:w="2839" w:type="dxa"/>
          </w:tcPr>
          <w:p w14:paraId="4AE999FB" w14:textId="502F8699" w:rsidR="00B4756D" w:rsidRPr="002A4856" w:rsidRDefault="00B4756D" w:rsidP="00B4756D">
            <w:pPr>
              <w:jc w:val="center"/>
              <w:rPr>
                <w:rFonts w:cs="Arial"/>
                <w:color w:val="FF0000"/>
                <w:szCs w:val="20"/>
              </w:rPr>
            </w:pPr>
            <w:r w:rsidRPr="009602D5">
              <w:rPr>
                <w:rFonts w:cs="Arial"/>
                <w:color w:val="FF0000"/>
                <w:szCs w:val="20"/>
              </w:rPr>
              <w:t>(doplní dodavatel)</w:t>
            </w:r>
          </w:p>
        </w:tc>
      </w:tr>
      <w:tr w:rsidR="00B4756D" w14:paraId="5F6EFF43" w14:textId="77777777" w:rsidTr="000328BA">
        <w:trPr>
          <w:trHeight w:val="476"/>
        </w:trPr>
        <w:tc>
          <w:tcPr>
            <w:tcW w:w="5100" w:type="dxa"/>
          </w:tcPr>
          <w:p w14:paraId="5C18AA96" w14:textId="4A4B7EA3" w:rsidR="00B4756D" w:rsidRDefault="00B4756D" w:rsidP="00B4756D">
            <w:pPr>
              <w:autoSpaceDE w:val="0"/>
              <w:autoSpaceDN w:val="0"/>
              <w:adjustRightInd w:val="0"/>
              <w:rPr>
                <w:rFonts w:cs="Arial"/>
                <w:szCs w:val="20"/>
              </w:rPr>
            </w:pPr>
            <w:r>
              <w:rPr>
                <w:rFonts w:cs="Arial"/>
                <w:szCs w:val="20"/>
              </w:rPr>
              <w:t>Možná dezinfekce kompletní systému zvlhčování včetně interních částí</w:t>
            </w:r>
          </w:p>
        </w:tc>
        <w:tc>
          <w:tcPr>
            <w:tcW w:w="1559" w:type="dxa"/>
          </w:tcPr>
          <w:p w14:paraId="39552D2F" w14:textId="4D461200" w:rsidR="00B4756D" w:rsidRPr="002A4856" w:rsidRDefault="00B4756D" w:rsidP="00B4756D">
            <w:pPr>
              <w:jc w:val="center"/>
              <w:rPr>
                <w:rFonts w:cs="Arial"/>
                <w:color w:val="FF0000"/>
                <w:szCs w:val="20"/>
              </w:rPr>
            </w:pPr>
            <w:r w:rsidRPr="009602D5">
              <w:rPr>
                <w:rFonts w:cs="Arial"/>
                <w:color w:val="FF0000"/>
                <w:szCs w:val="20"/>
              </w:rPr>
              <w:t>(doplní dodavatel)</w:t>
            </w:r>
          </w:p>
        </w:tc>
        <w:tc>
          <w:tcPr>
            <w:tcW w:w="2839" w:type="dxa"/>
          </w:tcPr>
          <w:p w14:paraId="13B3451C" w14:textId="142D5B3A" w:rsidR="00B4756D" w:rsidRPr="002A4856" w:rsidRDefault="00B4756D" w:rsidP="00B4756D">
            <w:pPr>
              <w:jc w:val="center"/>
              <w:rPr>
                <w:rFonts w:cs="Arial"/>
                <w:color w:val="FF0000"/>
                <w:szCs w:val="20"/>
              </w:rPr>
            </w:pPr>
            <w:r w:rsidRPr="009602D5">
              <w:rPr>
                <w:rFonts w:cs="Arial"/>
                <w:color w:val="FF0000"/>
                <w:szCs w:val="20"/>
              </w:rPr>
              <w:t>(doplní dodavatel)</w:t>
            </w:r>
          </w:p>
        </w:tc>
      </w:tr>
      <w:tr w:rsidR="00B4756D" w14:paraId="385B7544" w14:textId="77777777" w:rsidTr="000328BA">
        <w:trPr>
          <w:trHeight w:val="476"/>
        </w:trPr>
        <w:tc>
          <w:tcPr>
            <w:tcW w:w="5100" w:type="dxa"/>
          </w:tcPr>
          <w:p w14:paraId="0B958B3F" w14:textId="2B116FA7" w:rsidR="00B4756D" w:rsidRDefault="00B4756D" w:rsidP="00B4756D">
            <w:pPr>
              <w:autoSpaceDE w:val="0"/>
              <w:autoSpaceDN w:val="0"/>
              <w:adjustRightInd w:val="0"/>
              <w:rPr>
                <w:rFonts w:cs="Arial"/>
                <w:szCs w:val="20"/>
              </w:rPr>
            </w:pPr>
            <w:r>
              <w:rPr>
                <w:rFonts w:cs="Arial"/>
                <w:szCs w:val="20"/>
              </w:rPr>
              <w:t>24 hodinové trendy ve sledování teploty vzduchu, kůže a zvlhčování</w:t>
            </w:r>
          </w:p>
        </w:tc>
        <w:tc>
          <w:tcPr>
            <w:tcW w:w="1559" w:type="dxa"/>
          </w:tcPr>
          <w:p w14:paraId="030B9B93" w14:textId="56F51A41" w:rsidR="00B4756D" w:rsidRPr="002A4856" w:rsidRDefault="00B4756D" w:rsidP="00B4756D">
            <w:pPr>
              <w:jc w:val="center"/>
              <w:rPr>
                <w:rFonts w:cs="Arial"/>
                <w:color w:val="FF0000"/>
                <w:szCs w:val="20"/>
              </w:rPr>
            </w:pPr>
            <w:r w:rsidRPr="009602D5">
              <w:rPr>
                <w:rFonts w:cs="Arial"/>
                <w:color w:val="FF0000"/>
                <w:szCs w:val="20"/>
              </w:rPr>
              <w:t>(doplní dodavatel)</w:t>
            </w:r>
          </w:p>
        </w:tc>
        <w:tc>
          <w:tcPr>
            <w:tcW w:w="2839" w:type="dxa"/>
          </w:tcPr>
          <w:p w14:paraId="6F5C05E8" w14:textId="13FD1F7C" w:rsidR="00B4756D" w:rsidRPr="002A4856" w:rsidRDefault="00B4756D" w:rsidP="00B4756D">
            <w:pPr>
              <w:jc w:val="center"/>
              <w:rPr>
                <w:rFonts w:cs="Arial"/>
                <w:color w:val="FF0000"/>
                <w:szCs w:val="20"/>
              </w:rPr>
            </w:pPr>
            <w:r w:rsidRPr="009602D5">
              <w:rPr>
                <w:rFonts w:cs="Arial"/>
                <w:color w:val="FF0000"/>
                <w:szCs w:val="20"/>
              </w:rPr>
              <w:t>(doplní dodavatel)</w:t>
            </w:r>
          </w:p>
        </w:tc>
      </w:tr>
    </w:tbl>
    <w:p w14:paraId="4F73BA24" w14:textId="7AAF5A21" w:rsidR="0067782F" w:rsidRPr="0067782F" w:rsidRDefault="003B23B1" w:rsidP="008F369B">
      <w:pPr>
        <w:pStyle w:val="Nadpis2"/>
        <w:spacing w:before="240"/>
        <w:jc w:val="both"/>
      </w:pPr>
      <w:r>
        <w:rPr>
          <w:rFonts w:asciiTheme="minorHAnsi" w:hAnsiTheme="minorHAnsi"/>
          <w:sz w:val="22"/>
          <w:szCs w:val="22"/>
        </w:rPr>
        <w:t>Na všechny číselné parametry je tolerance +/- 10</w:t>
      </w:r>
      <w:r w:rsidR="00221970">
        <w:rPr>
          <w:rFonts w:asciiTheme="minorHAnsi" w:hAnsiTheme="minorHAnsi"/>
          <w:sz w:val="22"/>
          <w:szCs w:val="22"/>
        </w:rPr>
        <w:t xml:space="preserve"> </w:t>
      </w:r>
      <w:r>
        <w:rPr>
          <w:rFonts w:asciiTheme="minorHAnsi" w:hAnsiTheme="minorHAnsi"/>
          <w:sz w:val="22"/>
          <w:szCs w:val="22"/>
        </w:rPr>
        <w:t>%, mimo číselné parametry uvedené jako min. nebo max.</w:t>
      </w:r>
    </w:p>
    <w:p w14:paraId="537E6B18" w14:textId="33DF60C5"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yriadPro-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4DFDE512" w:rsidR="00E204A5" w:rsidRDefault="008A6C6A">
    <w:pPr>
      <w:pStyle w:val="Zhlav"/>
      <w:jc w:val="both"/>
    </w:pPr>
    <w:r>
      <w:rPr>
        <w:noProof/>
      </w:rPr>
      <w:drawing>
        <wp:anchor distT="0" distB="0" distL="0" distR="0" simplePos="0" relativeHeight="5" behindDoc="1" locked="0" layoutInCell="1" allowOverlap="1" wp14:anchorId="6E57B41A" wp14:editId="19C57153">
          <wp:simplePos x="0" y="0"/>
          <wp:positionH relativeFrom="margin">
            <wp:align>right</wp:align>
          </wp:positionH>
          <wp:positionV relativeFrom="paragraph">
            <wp:posOffset>-33122</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C575E"/>
    <w:multiLevelType w:val="hybridMultilevel"/>
    <w:tmpl w:val="E356E6D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0323661"/>
    <w:multiLevelType w:val="hybridMultilevel"/>
    <w:tmpl w:val="F5DA36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8E816E6"/>
    <w:multiLevelType w:val="hybridMultilevel"/>
    <w:tmpl w:val="30860926"/>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957039E"/>
    <w:multiLevelType w:val="hybridMultilevel"/>
    <w:tmpl w:val="42EAA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2"/>
  </w:num>
  <w:num w:numId="2" w16cid:durableId="1639647262">
    <w:abstractNumId w:val="13"/>
  </w:num>
  <w:num w:numId="3" w16cid:durableId="2120832709">
    <w:abstractNumId w:val="16"/>
  </w:num>
  <w:num w:numId="4" w16cid:durableId="2119443503">
    <w:abstractNumId w:val="1"/>
  </w:num>
  <w:num w:numId="5" w16cid:durableId="13604711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5"/>
  </w:num>
  <w:num w:numId="7" w16cid:durableId="1928730339">
    <w:abstractNumId w:val="12"/>
  </w:num>
  <w:num w:numId="8" w16cid:durableId="1619097672">
    <w:abstractNumId w:val="11"/>
  </w:num>
  <w:num w:numId="9" w16cid:durableId="1527599014">
    <w:abstractNumId w:val="7"/>
  </w:num>
  <w:num w:numId="10" w16cid:durableId="908928185">
    <w:abstractNumId w:val="9"/>
  </w:num>
  <w:num w:numId="11" w16cid:durableId="1640184336">
    <w:abstractNumId w:val="8"/>
  </w:num>
  <w:num w:numId="12" w16cid:durableId="561216745">
    <w:abstractNumId w:val="15"/>
  </w:num>
  <w:num w:numId="13" w16cid:durableId="957643884">
    <w:abstractNumId w:val="3"/>
  </w:num>
  <w:num w:numId="14" w16cid:durableId="799570579">
    <w:abstractNumId w:val="14"/>
  </w:num>
  <w:num w:numId="15" w16cid:durableId="1335959126">
    <w:abstractNumId w:val="0"/>
  </w:num>
  <w:num w:numId="16" w16cid:durableId="2132624661">
    <w:abstractNumId w:val="10"/>
  </w:num>
  <w:num w:numId="17" w16cid:durableId="9797254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28BA"/>
    <w:rsid w:val="00035D6E"/>
    <w:rsid w:val="000518E2"/>
    <w:rsid w:val="000661BD"/>
    <w:rsid w:val="0010777A"/>
    <w:rsid w:val="00156E75"/>
    <w:rsid w:val="00160D1F"/>
    <w:rsid w:val="00206EEE"/>
    <w:rsid w:val="00221970"/>
    <w:rsid w:val="00245EF7"/>
    <w:rsid w:val="002815D7"/>
    <w:rsid w:val="00316073"/>
    <w:rsid w:val="00345782"/>
    <w:rsid w:val="00395CE7"/>
    <w:rsid w:val="00396BD9"/>
    <w:rsid w:val="003B23B1"/>
    <w:rsid w:val="003B5F92"/>
    <w:rsid w:val="00423DD3"/>
    <w:rsid w:val="0056587D"/>
    <w:rsid w:val="0067782F"/>
    <w:rsid w:val="00684C90"/>
    <w:rsid w:val="006C603D"/>
    <w:rsid w:val="006E27FD"/>
    <w:rsid w:val="00702EA9"/>
    <w:rsid w:val="00744CD0"/>
    <w:rsid w:val="00894DD4"/>
    <w:rsid w:val="008A6C6A"/>
    <w:rsid w:val="008C2E14"/>
    <w:rsid w:val="008D614B"/>
    <w:rsid w:val="008F369B"/>
    <w:rsid w:val="00940CC3"/>
    <w:rsid w:val="00940F64"/>
    <w:rsid w:val="00A339C9"/>
    <w:rsid w:val="00A67946"/>
    <w:rsid w:val="00A844D8"/>
    <w:rsid w:val="00AF4029"/>
    <w:rsid w:val="00B02141"/>
    <w:rsid w:val="00B4756D"/>
    <w:rsid w:val="00B94A1B"/>
    <w:rsid w:val="00D30FA3"/>
    <w:rsid w:val="00D6618C"/>
    <w:rsid w:val="00D972EA"/>
    <w:rsid w:val="00DC048D"/>
    <w:rsid w:val="00E204A5"/>
    <w:rsid w:val="00EF4A8A"/>
    <w:rsid w:val="00F26341"/>
    <w:rsid w:val="00F66539"/>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1627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Pages>2</Pages>
  <Words>475</Words>
  <Characters>2807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81</cp:revision>
  <dcterms:created xsi:type="dcterms:W3CDTF">2021-02-25T06:14:00Z</dcterms:created>
  <dcterms:modified xsi:type="dcterms:W3CDTF">2024-02-14T09:44:00Z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