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6D51E334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213683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</w:p>
    <w:p w14:paraId="6F44F9A0" w14:textId="1F6AF085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C96E3C" w:rsidRPr="00C96E3C">
        <w:rPr>
          <w:rFonts w:asciiTheme="minorHAnsi" w:hAnsiTheme="minorHAnsi" w:cstheme="minorHAnsi"/>
        </w:rPr>
        <w:t>SŠ uměleckoprůmyslová Ústí nad Orlicí - areál Perla</w:t>
      </w:r>
      <w:bookmarkStart w:id="0" w:name="_GoBack"/>
      <w:bookmarkEnd w:id="0"/>
    </w:p>
    <w:p w14:paraId="3367D799" w14:textId="62C39777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88474E">
        <w:rPr>
          <w:rFonts w:asciiTheme="minorHAnsi" w:hAnsiTheme="minorHAnsi" w:cstheme="minorHAnsi"/>
          <w:color w:val="000000"/>
          <w:shd w:val="clear" w:color="auto" w:fill="FFFFFF"/>
        </w:rPr>
        <w:t>bude doplněno</w:t>
      </w:r>
    </w:p>
    <w:p w14:paraId="54864B75" w14:textId="57F4A6E2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DD526C">
        <w:rPr>
          <w:rFonts w:asciiTheme="minorHAnsi" w:hAnsiTheme="minorHAnsi" w:cstheme="minorHAnsi"/>
        </w:rPr>
        <w:t>program</w:t>
      </w:r>
      <w:r w:rsidR="00DD526C" w:rsidRPr="00DD526C">
        <w:rPr>
          <w:rFonts w:asciiTheme="minorHAnsi" w:hAnsiTheme="minorHAnsi" w:cstheme="minorHAnsi"/>
        </w:rPr>
        <w:t xml:space="preserve"> na revitalizaci </w:t>
      </w:r>
      <w:proofErr w:type="spellStart"/>
      <w:r w:rsidR="00DD526C" w:rsidRPr="00DD526C">
        <w:rPr>
          <w:rFonts w:asciiTheme="minorHAnsi" w:hAnsiTheme="minorHAnsi" w:cstheme="minorHAnsi"/>
        </w:rPr>
        <w:t>brownfieldů</w:t>
      </w:r>
      <w:proofErr w:type="spellEnd"/>
      <w:r w:rsidR="00DD526C" w:rsidRPr="00DD526C">
        <w:rPr>
          <w:rFonts w:asciiTheme="minorHAnsi" w:hAnsiTheme="minorHAnsi" w:cstheme="minorHAnsi"/>
        </w:rPr>
        <w:t xml:space="preserve"> v rámci Národního plánu obnovy (dále NPO</w:t>
      </w:r>
      <w:r w:rsidR="00DD526C">
        <w:rPr>
          <w:rFonts w:asciiTheme="minorHAnsi" w:hAnsiTheme="minorHAnsi" w:cstheme="minorHAnsi"/>
        </w:rPr>
        <w:t xml:space="preserve"> - </w:t>
      </w:r>
      <w:proofErr w:type="spellStart"/>
      <w:r w:rsidR="00DD526C">
        <w:rPr>
          <w:rFonts w:asciiTheme="minorHAnsi" w:hAnsiTheme="minorHAnsi" w:cstheme="minorHAnsi"/>
        </w:rPr>
        <w:t>Brownfieldy</w:t>
      </w:r>
      <w:proofErr w:type="spellEnd"/>
      <w:r w:rsidR="00DD526C" w:rsidRPr="00DD526C">
        <w:rPr>
          <w:rFonts w:asciiTheme="minorHAnsi" w:hAnsiTheme="minorHAnsi" w:cstheme="minorHAnsi"/>
        </w:rPr>
        <w:t>)</w:t>
      </w:r>
    </w:p>
    <w:p w14:paraId="744D9A58" w14:textId="28E8EBEA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4A21EB9E" w14:textId="574D1C0A"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797471" w:rsidRPr="003213D5">
        <w:rPr>
          <w:rFonts w:asciiTheme="minorHAnsi" w:hAnsiTheme="minorHAnsi" w:cstheme="minorHAnsi"/>
        </w:rPr>
        <w:t>Kristýna Boukalová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797471" w:rsidRPr="003213D5">
        <w:rPr>
          <w:rFonts w:asciiTheme="minorHAnsi" w:hAnsiTheme="minorHAnsi" w:cstheme="minorHAnsi"/>
        </w:rPr>
        <w:t>691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797471" w:rsidRPr="003213D5">
          <w:rPr>
            <w:rStyle w:val="Hypertextovodkaz"/>
            <w:rFonts w:asciiTheme="minorHAnsi" w:hAnsiTheme="minorHAnsi" w:cstheme="minorHAnsi"/>
          </w:rPr>
          <w:t>kristyna.boukalova@pardubickykraj.cz</w:t>
        </w:r>
      </w:hyperlink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7394816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a </w:t>
      </w:r>
      <w:proofErr w:type="spellStart"/>
      <w:r w:rsidRPr="003213D5">
        <w:rPr>
          <w:rFonts w:asciiTheme="minorHAnsi" w:hAnsiTheme="minorHAnsi" w:cstheme="minorHAnsi"/>
        </w:rPr>
        <w:t>poskyto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vatele</w:t>
      </w:r>
      <w:proofErr w:type="spellEnd"/>
      <w:r w:rsidRPr="003213D5">
        <w:rPr>
          <w:rFonts w:asciiTheme="minorHAnsi" w:hAnsiTheme="minorHAnsi" w:cstheme="minorHAnsi"/>
        </w:rPr>
        <w:t xml:space="preserve"> dotace.</w:t>
      </w:r>
    </w:p>
    <w:p w14:paraId="6FACD0B7" w14:textId="44BF752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proofErr w:type="spellStart"/>
      <w:r w:rsidR="00F82997" w:rsidRPr="003213D5">
        <w:rPr>
          <w:rFonts w:asciiTheme="minorHAnsi" w:hAnsiTheme="minorHAnsi" w:cstheme="minorHAnsi"/>
        </w:rPr>
        <w:t>Minister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stvem</w:t>
      </w:r>
      <w:proofErr w:type="spellEnd"/>
      <w:r w:rsidR="00F82997" w:rsidRPr="003213D5">
        <w:rPr>
          <w:rFonts w:asciiTheme="minorHAnsi" w:hAnsiTheme="minorHAnsi" w:cstheme="minorHAnsi"/>
        </w:rPr>
        <w:t xml:space="preserve">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proofErr w:type="spellStart"/>
      <w:r w:rsidR="00F82997" w:rsidRPr="003213D5">
        <w:rPr>
          <w:rFonts w:asciiTheme="minorHAnsi" w:hAnsiTheme="minorHAnsi" w:cstheme="minorHAnsi"/>
        </w:rPr>
        <w:t>poskytova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telem</w:t>
      </w:r>
      <w:proofErr w:type="spellEnd"/>
      <w:r w:rsidR="00F82997" w:rsidRPr="003213D5">
        <w:rPr>
          <w:rFonts w:asciiTheme="minorHAnsi" w:hAnsiTheme="minorHAnsi" w:cstheme="minorHAnsi"/>
        </w:rPr>
        <w:t xml:space="preserve">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7FFD2E54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bere na vědomí, že poskytovatel dotace je oprávněn provést u projektu </w:t>
      </w:r>
      <w:proofErr w:type="spellStart"/>
      <w:r w:rsidRPr="003213D5">
        <w:rPr>
          <w:rFonts w:asciiTheme="minorHAnsi" w:hAnsiTheme="minorHAnsi" w:cstheme="minorHAnsi"/>
        </w:rPr>
        <w:t>nezá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vislý</w:t>
      </w:r>
      <w:proofErr w:type="spellEnd"/>
      <w:r w:rsidRPr="003213D5">
        <w:rPr>
          <w:rFonts w:asciiTheme="minorHAnsi" w:hAnsiTheme="minorHAnsi" w:cstheme="minorHAnsi"/>
        </w:rPr>
        <w:t xml:space="preserve">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78F117F8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proofErr w:type="gramStart"/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proofErr w:type="gramEnd"/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projektu zaměstnancům nebo zmocněncům </w:t>
      </w:r>
      <w:proofErr w:type="spellStart"/>
      <w:r w:rsidRPr="003213D5">
        <w:rPr>
          <w:rFonts w:asciiTheme="minorHAnsi" w:hAnsiTheme="minorHAnsi" w:cstheme="minorHAnsi"/>
        </w:rPr>
        <w:t>pově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řených</w:t>
      </w:r>
      <w:proofErr w:type="spellEnd"/>
      <w:r w:rsidRPr="003213D5">
        <w:rPr>
          <w:rFonts w:asciiTheme="minorHAnsi" w:hAnsiTheme="minorHAnsi" w:cstheme="minorHAnsi"/>
        </w:rPr>
        <w:t xml:space="preserve"> orgánů (CRR, MMR ČR, MF ČR, Evropské komise, Evropského účetního dvora, 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76428C53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modernizované komunikace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3213D5">
        <w:rPr>
          <w:rFonts w:asciiTheme="minorHAnsi" w:hAnsiTheme="minorHAnsi" w:cstheme="minorHAnsi"/>
        </w:rPr>
        <w:t>euroformát</w:t>
      </w:r>
      <w:proofErr w:type="spellEnd"/>
      <w:r w:rsidR="00B553E1" w:rsidRPr="003213D5">
        <w:rPr>
          <w:rFonts w:asciiTheme="minorHAnsi" w:hAnsiTheme="minorHAnsi" w:cstheme="minorHAnsi"/>
        </w:rPr>
        <w:t>),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0580CF3E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 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144E4E5C" w14:textId="77777777" w:rsidR="00004811" w:rsidRDefault="00B6120D" w:rsidP="0000481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219A0ED5" w:rsidR="00797471" w:rsidRPr="006318A9" w:rsidRDefault="00797471" w:rsidP="00004811">
      <w:pPr>
        <w:pStyle w:val="Odstavecseseznamem"/>
        <w:numPr>
          <w:ilvl w:val="0"/>
          <w:numId w:val="28"/>
        </w:numPr>
        <w:spacing w:after="120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 xml:space="preserve">UPOZORNĚNÍ – DNSH </w:t>
      </w:r>
    </w:p>
    <w:p w14:paraId="52219EB0" w14:textId="1ECC3FE9" w:rsidR="00797471" w:rsidRPr="006318A9" w:rsidRDefault="00797471" w:rsidP="00CB2A45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Veškeré aktivity projektu musí být realizovány v souladu s cíli a zásadami udržitelného rozvoje</w:t>
      </w:r>
      <w:r w:rsidR="00CB2A45" w:rsidRPr="006318A9">
        <w:rPr>
          <w:rFonts w:asciiTheme="minorHAnsi" w:hAnsiTheme="minorHAnsi" w:cstheme="minorHAnsi"/>
          <w:b/>
        </w:rPr>
        <w:t xml:space="preserve"> </w:t>
      </w:r>
      <w:r w:rsidRPr="006318A9">
        <w:rPr>
          <w:rFonts w:asciiTheme="minorHAnsi" w:hAnsiTheme="minorHAnsi" w:cstheme="minorHAnsi"/>
          <w:b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7A83CB79" w14:textId="28301262" w:rsidR="00CB2A45" w:rsidRPr="00A93F66" w:rsidRDefault="00CB2A45" w:rsidP="00A93F66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  <w:b/>
        </w:rPr>
      </w:pPr>
      <w:r w:rsidRPr="006318A9">
        <w:rPr>
          <w:rFonts w:asciiTheme="minorHAnsi" w:hAnsiTheme="minorHAnsi" w:cstheme="minorHAnsi"/>
          <w:b/>
        </w:rPr>
        <w:t>Součástí zadávací dokumentace je Metodický pokyn k zásadě DNSH a Zjednodušený plán nakládání s odpadem.</w:t>
      </w:r>
    </w:p>
    <w:p w14:paraId="3E649F6D" w14:textId="09F1ECEF" w:rsidR="003410CA" w:rsidRDefault="003410CA" w:rsidP="003410CA">
      <w:pPr>
        <w:autoSpaceDE w:val="0"/>
        <w:autoSpaceDN w:val="0"/>
        <w:adjustRightInd w:val="0"/>
        <w:ind w:left="708"/>
        <w:jc w:val="both"/>
      </w:pPr>
    </w:p>
    <w:p w14:paraId="211B5488" w14:textId="4562F9CC" w:rsidR="003410CA" w:rsidRDefault="00213683" w:rsidP="003410CA">
      <w:pPr>
        <w:autoSpaceDE w:val="0"/>
        <w:autoSpaceDN w:val="0"/>
        <w:adjustRightInd w:val="0"/>
        <w:ind w:left="708"/>
        <w:jc w:val="both"/>
      </w:pPr>
      <w:hyperlink r:id="rId9" w:history="1">
        <w:r w:rsidR="00A93F66" w:rsidRPr="00F96D1A">
          <w:rPr>
            <w:rStyle w:val="Hypertextovodkaz"/>
          </w:rPr>
          <w:t>https://sfpi.cz/npo-brownfieldy-dokumenty-k-vyzve-c-6/</w:t>
        </w:r>
      </w:hyperlink>
    </w:p>
    <w:p w14:paraId="709E01FA" w14:textId="77777777" w:rsidR="00A93F66" w:rsidRDefault="00A93F66" w:rsidP="003410CA">
      <w:pPr>
        <w:autoSpaceDE w:val="0"/>
        <w:autoSpaceDN w:val="0"/>
        <w:adjustRightInd w:val="0"/>
        <w:ind w:left="708"/>
        <w:jc w:val="both"/>
      </w:pPr>
    </w:p>
    <w:p w14:paraId="336DDEFE" w14:textId="77777777" w:rsidR="003410CA" w:rsidRDefault="003410CA" w:rsidP="003410CA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</w:p>
    <w:sectPr w:rsidR="003410CA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B08CA" w14:textId="77777777" w:rsidR="00DE3D2A" w:rsidRDefault="00DE3D2A">
      <w:r>
        <w:separator/>
      </w:r>
    </w:p>
  </w:endnote>
  <w:endnote w:type="continuationSeparator" w:id="0">
    <w:p w14:paraId="3E940DD9" w14:textId="77777777" w:rsidR="00DE3D2A" w:rsidRDefault="00DE3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688C1BE3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213683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213683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1E0A3" w14:textId="77777777" w:rsidR="00DE3D2A" w:rsidRDefault="00DE3D2A">
      <w:r>
        <w:separator/>
      </w:r>
    </w:p>
  </w:footnote>
  <w:footnote w:type="continuationSeparator" w:id="0">
    <w:p w14:paraId="267659A4" w14:textId="77777777" w:rsidR="00DE3D2A" w:rsidRDefault="00DE3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8C07A" w14:textId="77777777" w:rsidR="0097372D" w:rsidRDefault="0097372D">
    <w:pPr>
      <w:pStyle w:val="Zhlav"/>
      <w:pBdr>
        <w:bottom w:val="single" w:sz="6" w:space="1" w:color="auto"/>
      </w:pBdr>
      <w:rPr>
        <w:rFonts w:ascii="Arial" w:hAnsi="Arial"/>
      </w:rPr>
    </w:pPr>
    <w:r>
      <w:rPr>
        <w:noProof/>
      </w:rPr>
      <w:drawing>
        <wp:inline distT="0" distB="0" distL="0" distR="0" wp14:anchorId="37FD5850" wp14:editId="0D31BE92">
          <wp:extent cx="1752600" cy="5524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20F8AD" w14:textId="77777777" w:rsidR="0097372D" w:rsidRDefault="0097372D">
    <w:pPr>
      <w:pStyle w:val="Zhlav"/>
      <w:pBdr>
        <w:bottom w:val="single" w:sz="6" w:space="1" w:color="auto"/>
      </w:pBdr>
      <w:rPr>
        <w:rFonts w:ascii="Arial" w:hAnsi="Arial"/>
      </w:rPr>
    </w:pPr>
  </w:p>
  <w:p w14:paraId="414FDFD9" w14:textId="4D3BE730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2DDAB38C" w:rsidR="00391D85" w:rsidRPr="00391D85" w:rsidRDefault="00391D85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2DDAB38C" w:rsidR="00391D85" w:rsidRPr="00391D85" w:rsidRDefault="00391D85">
                    <w:pPr>
                      <w:rPr>
                        <w:rFonts w:ascii="Arial" w:hAnsi="Arial" w:cs="Arial"/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811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1F9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0833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1368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07CF4"/>
    <w:rsid w:val="00314837"/>
    <w:rsid w:val="003213D5"/>
    <w:rsid w:val="0032483F"/>
    <w:rsid w:val="003314BE"/>
    <w:rsid w:val="003317D4"/>
    <w:rsid w:val="003410CA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07A1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A454C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18A9"/>
    <w:rsid w:val="006332CA"/>
    <w:rsid w:val="00641383"/>
    <w:rsid w:val="006432D9"/>
    <w:rsid w:val="006471EC"/>
    <w:rsid w:val="00654790"/>
    <w:rsid w:val="0065539D"/>
    <w:rsid w:val="00676908"/>
    <w:rsid w:val="00677030"/>
    <w:rsid w:val="00683CAE"/>
    <w:rsid w:val="0068650E"/>
    <w:rsid w:val="006A07E6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60A43"/>
    <w:rsid w:val="0087653A"/>
    <w:rsid w:val="0088171A"/>
    <w:rsid w:val="00882CED"/>
    <w:rsid w:val="0088452D"/>
    <w:rsid w:val="0088474E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7372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012B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3F66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96E3C"/>
    <w:rsid w:val="00CB04A4"/>
    <w:rsid w:val="00CB2A45"/>
    <w:rsid w:val="00CB39DA"/>
    <w:rsid w:val="00CB6CF7"/>
    <w:rsid w:val="00CD2731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526C"/>
    <w:rsid w:val="00DD61C3"/>
    <w:rsid w:val="00DE3B9E"/>
    <w:rsid w:val="00DE3D2A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6364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433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962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yna.boukalova@pardubickykraj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fpi.cz/npo-brownfieldy-dokumenty-k-vyzve-c-6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3CFEC-7989-40A0-881A-EB796046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925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6866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Hrdinová Jaroslava Ing.</cp:lastModifiedBy>
  <cp:revision>31</cp:revision>
  <cp:lastPrinted>2019-02-15T10:09:00Z</cp:lastPrinted>
  <dcterms:created xsi:type="dcterms:W3CDTF">2023-06-01T09:18:00Z</dcterms:created>
  <dcterms:modified xsi:type="dcterms:W3CDTF">2023-10-26T07:45:00Z</dcterms:modified>
</cp:coreProperties>
</file>