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05F29E5F" w:rsidR="00995AE2" w:rsidRDefault="000A46DA" w:rsidP="00995AE2">
      <w:pPr>
        <w:pStyle w:val="Nadpis8"/>
      </w:pPr>
      <w:r>
        <w:t>Magnetická rezonance</w:t>
      </w:r>
      <w:r w:rsidR="00995AE2">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2FBD2BCF"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0A46DA">
        <w:rPr>
          <w:rFonts w:asciiTheme="minorHAnsi" w:hAnsiTheme="minorHAnsi" w:cstheme="minorHAnsi"/>
          <w:sz w:val="22"/>
          <w:szCs w:val="22"/>
        </w:rPr>
        <w:t xml:space="preserve">, </w:t>
      </w:r>
      <w:r w:rsidR="000A46DA" w:rsidRPr="000A46DA">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563BAEC3" w:rsidR="00A37F3F" w:rsidRDefault="0082694E">
            <w:pPr>
              <w:rPr>
                <w:rFonts w:asciiTheme="minorHAnsi" w:hAnsiTheme="minorHAnsi"/>
                <w:b/>
                <w:bCs/>
                <w:sz w:val="28"/>
                <w:szCs w:val="28"/>
              </w:rPr>
            </w:pPr>
            <w:r w:rsidRPr="0082694E">
              <w:rPr>
                <w:rFonts w:asciiTheme="minorHAnsi" w:hAnsiTheme="minorHAnsi"/>
                <w:b/>
                <w:bCs/>
                <w:sz w:val="28"/>
                <w:szCs w:val="28"/>
              </w:rPr>
              <w:t>Magnetická rezonance</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82694E" w:rsidRDefault="00304FDF" w:rsidP="00304FDF">
            <w:pPr>
              <w:rPr>
                <w:rFonts w:ascii="Calibri" w:hAnsi="Calibri" w:cs="Calibri"/>
                <w:b/>
                <w:bCs/>
                <w:color w:val="000000" w:themeColor="text1"/>
                <w:sz w:val="22"/>
                <w:szCs w:val="22"/>
              </w:rPr>
            </w:pPr>
            <w:r w:rsidRPr="0082694E">
              <w:rPr>
                <w:rFonts w:ascii="Calibri" w:hAnsi="Calibri" w:cs="Calibri"/>
                <w:b/>
                <w:bCs/>
                <w:color w:val="000000" w:themeColor="text1"/>
                <w:sz w:val="22"/>
                <w:szCs w:val="22"/>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82694E">
        <w:trPr>
          <w:cantSplit/>
        </w:trPr>
        <w:tc>
          <w:tcPr>
            <w:tcW w:w="5103" w:type="dxa"/>
            <w:shd w:val="clear" w:color="auto" w:fill="auto"/>
          </w:tcPr>
          <w:p w14:paraId="0ADB95E6" w14:textId="6ACC44D9" w:rsidR="00304FDF" w:rsidRPr="0082694E" w:rsidRDefault="00304FDF" w:rsidP="00304FDF">
            <w:pPr>
              <w:rPr>
                <w:rFonts w:ascii="Calibri" w:hAnsi="Calibri" w:cs="Calibri"/>
                <w:color w:val="000000" w:themeColor="text1"/>
                <w:sz w:val="22"/>
                <w:szCs w:val="22"/>
              </w:rPr>
            </w:pPr>
            <w:r w:rsidRPr="0082694E">
              <w:rPr>
                <w:rFonts w:ascii="Calibri" w:hAnsi="Calibri" w:cs="Calibri"/>
                <w:color w:val="000000" w:themeColor="text1"/>
                <w:sz w:val="22"/>
                <w:szCs w:val="22"/>
              </w:rPr>
              <w:t xml:space="preserve">supravodivý </w:t>
            </w:r>
            <w:proofErr w:type="spellStart"/>
            <w:r w:rsidRPr="0082694E">
              <w:rPr>
                <w:rFonts w:ascii="Calibri" w:hAnsi="Calibri" w:cs="Calibri"/>
                <w:color w:val="000000" w:themeColor="text1"/>
                <w:sz w:val="22"/>
                <w:szCs w:val="22"/>
              </w:rPr>
              <w:t>bezodparový</w:t>
            </w:r>
            <w:proofErr w:type="spellEnd"/>
            <w:r w:rsidRPr="0082694E">
              <w:rPr>
                <w:rFonts w:ascii="Calibri" w:hAnsi="Calibri" w:cs="Calibri"/>
                <w:color w:val="000000" w:themeColor="text1"/>
                <w:sz w:val="22"/>
                <w:szCs w:val="22"/>
              </w:rPr>
              <w:t xml:space="preserve"> magnet s indukcí pole 1,5 Tesla s aktivním stíněním</w:t>
            </w:r>
          </w:p>
        </w:tc>
        <w:tc>
          <w:tcPr>
            <w:tcW w:w="1560" w:type="dxa"/>
            <w:shd w:val="clear" w:color="auto" w:fill="auto"/>
            <w:vAlign w:val="center"/>
          </w:tcPr>
          <w:p w14:paraId="25125E17" w14:textId="77777777"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4CB06169" w14:textId="77777777"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304FDF" w14:paraId="6713E8A3" w14:textId="77777777" w:rsidTr="0082694E">
        <w:trPr>
          <w:cantSplit/>
        </w:trPr>
        <w:tc>
          <w:tcPr>
            <w:tcW w:w="5103" w:type="dxa"/>
            <w:shd w:val="clear" w:color="auto" w:fill="auto"/>
          </w:tcPr>
          <w:p w14:paraId="005E78A1" w14:textId="397A20C2" w:rsidR="00304FDF" w:rsidRPr="0082694E" w:rsidRDefault="00304FDF" w:rsidP="00304FDF">
            <w:pPr>
              <w:rPr>
                <w:rFonts w:ascii="Calibri" w:hAnsi="Calibri" w:cs="Calibri"/>
                <w:color w:val="000000" w:themeColor="text1"/>
                <w:sz w:val="22"/>
                <w:szCs w:val="22"/>
              </w:rPr>
            </w:pPr>
            <w:r w:rsidRPr="0082694E">
              <w:rPr>
                <w:rFonts w:ascii="Calibri" w:hAnsi="Calibri" w:cs="Calibri"/>
                <w:color w:val="000000" w:themeColor="text1"/>
                <w:sz w:val="22"/>
                <w:szCs w:val="22"/>
              </w:rPr>
              <w:t xml:space="preserve">průměr pacientského otvoru </w:t>
            </w:r>
            <w:proofErr w:type="spellStart"/>
            <w:r w:rsidRPr="0082694E">
              <w:rPr>
                <w:rFonts w:ascii="Calibri" w:hAnsi="Calibri" w:cs="Calibri"/>
                <w:color w:val="000000" w:themeColor="text1"/>
                <w:sz w:val="22"/>
                <w:szCs w:val="22"/>
              </w:rPr>
              <w:t>gantry</w:t>
            </w:r>
            <w:proofErr w:type="spellEnd"/>
            <w:r w:rsidRPr="0082694E">
              <w:rPr>
                <w:rFonts w:ascii="Calibri" w:hAnsi="Calibri" w:cs="Calibri"/>
                <w:color w:val="000000" w:themeColor="text1"/>
                <w:sz w:val="22"/>
                <w:szCs w:val="22"/>
              </w:rPr>
              <w:t xml:space="preserve"> min. 70cm</w:t>
            </w:r>
          </w:p>
        </w:tc>
        <w:tc>
          <w:tcPr>
            <w:tcW w:w="1560" w:type="dxa"/>
            <w:shd w:val="clear" w:color="auto" w:fill="auto"/>
            <w:vAlign w:val="center"/>
          </w:tcPr>
          <w:p w14:paraId="43465928" w14:textId="77777777"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7CD734DC" w14:textId="77777777"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995AE2" w14:paraId="32A11ADB" w14:textId="77777777" w:rsidTr="0082694E">
        <w:trPr>
          <w:cantSplit/>
        </w:trPr>
        <w:tc>
          <w:tcPr>
            <w:tcW w:w="5103" w:type="dxa"/>
            <w:shd w:val="clear" w:color="auto" w:fill="auto"/>
          </w:tcPr>
          <w:p w14:paraId="01D093DA" w14:textId="0F72C2AC" w:rsidR="00995AE2" w:rsidRPr="0082694E" w:rsidRDefault="00304FDF" w:rsidP="00995AE2">
            <w:pPr>
              <w:rPr>
                <w:rFonts w:ascii="Calibri" w:hAnsi="Calibri" w:cs="Calibri"/>
                <w:color w:val="000000" w:themeColor="text1"/>
                <w:sz w:val="22"/>
                <w:szCs w:val="22"/>
              </w:rPr>
            </w:pPr>
            <w:r w:rsidRPr="0082694E">
              <w:rPr>
                <w:rFonts w:ascii="Calibri" w:hAnsi="Calibri" w:cs="Calibri"/>
                <w:color w:val="000000" w:themeColor="text1"/>
                <w:sz w:val="22"/>
                <w:szCs w:val="22"/>
              </w:rPr>
              <w:t xml:space="preserve">vyšetřovací pole </w:t>
            </w:r>
            <w:proofErr w:type="spellStart"/>
            <w:r w:rsidRPr="0082694E">
              <w:rPr>
                <w:rFonts w:ascii="Calibri" w:hAnsi="Calibri" w:cs="Calibri"/>
                <w:color w:val="000000" w:themeColor="text1"/>
                <w:sz w:val="22"/>
                <w:szCs w:val="22"/>
              </w:rPr>
              <w:t>FoV</w:t>
            </w:r>
            <w:proofErr w:type="spellEnd"/>
            <w:r w:rsidRPr="0082694E">
              <w:rPr>
                <w:rFonts w:ascii="Calibri" w:hAnsi="Calibri" w:cs="Calibri"/>
                <w:color w:val="000000" w:themeColor="text1"/>
                <w:sz w:val="22"/>
                <w:szCs w:val="22"/>
              </w:rPr>
              <w:t xml:space="preserve"> velikosti min. 50 x 50 x 45 cm  (v osách </w:t>
            </w:r>
            <w:proofErr w:type="spellStart"/>
            <w:r w:rsidRPr="0082694E">
              <w:rPr>
                <w:rFonts w:ascii="Calibri" w:hAnsi="Calibri" w:cs="Calibri"/>
                <w:color w:val="000000" w:themeColor="text1"/>
                <w:sz w:val="22"/>
                <w:szCs w:val="22"/>
              </w:rPr>
              <w:t>x,y</w:t>
            </w:r>
            <w:proofErr w:type="spellEnd"/>
            <w:r w:rsidRPr="0082694E">
              <w:rPr>
                <w:rFonts w:ascii="Calibri" w:hAnsi="Calibri" w:cs="Calibri"/>
                <w:color w:val="000000" w:themeColor="text1"/>
                <w:sz w:val="22"/>
                <w:szCs w:val="22"/>
              </w:rPr>
              <w:t xml:space="preserve"> a z)</w:t>
            </w:r>
          </w:p>
        </w:tc>
        <w:tc>
          <w:tcPr>
            <w:tcW w:w="1560" w:type="dxa"/>
            <w:shd w:val="clear" w:color="auto" w:fill="auto"/>
            <w:vAlign w:val="center"/>
          </w:tcPr>
          <w:p w14:paraId="39C4D57B" w14:textId="7294551B"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4F3EADDF" w14:textId="3F91F2A2"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995AE2" w14:paraId="57FEBCEA" w14:textId="77777777" w:rsidTr="0082694E">
        <w:trPr>
          <w:cantSplit/>
        </w:trPr>
        <w:tc>
          <w:tcPr>
            <w:tcW w:w="5103" w:type="dxa"/>
            <w:shd w:val="clear" w:color="auto" w:fill="auto"/>
          </w:tcPr>
          <w:p w14:paraId="69900B0A" w14:textId="26E6FB7B" w:rsidR="00995AE2" w:rsidRPr="0082694E" w:rsidRDefault="00304FDF" w:rsidP="00995AE2">
            <w:pPr>
              <w:rPr>
                <w:rFonts w:ascii="Calibri" w:hAnsi="Calibri" w:cs="Calibri"/>
                <w:color w:val="000000" w:themeColor="text1"/>
                <w:sz w:val="22"/>
                <w:szCs w:val="22"/>
              </w:rPr>
            </w:pPr>
            <w:r w:rsidRPr="0082694E">
              <w:rPr>
                <w:rFonts w:ascii="Calibri" w:hAnsi="Calibri" w:cs="Calibri"/>
                <w:color w:val="000000" w:themeColor="text1"/>
                <w:sz w:val="22"/>
                <w:szCs w:val="22"/>
              </w:rPr>
              <w:t>pacientský stůl s nosností pacienta min. 250 kg v celém rozsahu – možnost „skenování“ v rozsahu min. 200cm</w:t>
            </w:r>
          </w:p>
        </w:tc>
        <w:tc>
          <w:tcPr>
            <w:tcW w:w="1560" w:type="dxa"/>
            <w:shd w:val="clear" w:color="auto" w:fill="auto"/>
            <w:vAlign w:val="center"/>
          </w:tcPr>
          <w:p w14:paraId="56046369" w14:textId="77777777"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016698C0" w14:textId="77777777"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304FDF" w14:paraId="16E9DBE3" w14:textId="77777777" w:rsidTr="0082694E">
        <w:trPr>
          <w:cantSplit/>
        </w:trPr>
        <w:tc>
          <w:tcPr>
            <w:tcW w:w="5103" w:type="dxa"/>
            <w:shd w:val="clear" w:color="auto" w:fill="auto"/>
          </w:tcPr>
          <w:p w14:paraId="62A23B91" w14:textId="030D4685" w:rsidR="00304FDF" w:rsidRPr="0082694E" w:rsidRDefault="00304FDF" w:rsidP="00304FDF">
            <w:pPr>
              <w:rPr>
                <w:rFonts w:asciiTheme="minorHAnsi" w:hAnsiTheme="minorHAnsi" w:cs="Calibri"/>
                <w:b/>
                <w:bCs/>
                <w:sz w:val="22"/>
                <w:szCs w:val="22"/>
              </w:rPr>
            </w:pPr>
            <w:r w:rsidRPr="0082694E">
              <w:rPr>
                <w:rFonts w:ascii="Calibri" w:hAnsi="Calibri" w:cs="Calibri"/>
                <w:color w:val="000000" w:themeColor="text1"/>
                <w:sz w:val="22"/>
                <w:szCs w:val="22"/>
              </w:rPr>
              <w:t xml:space="preserve">gradientní systém s amplitudou min. 44 </w:t>
            </w:r>
            <w:proofErr w:type="spellStart"/>
            <w:r w:rsidRPr="0082694E">
              <w:rPr>
                <w:rFonts w:ascii="Calibri" w:hAnsi="Calibri" w:cs="Calibri"/>
                <w:color w:val="000000" w:themeColor="text1"/>
                <w:sz w:val="22"/>
                <w:szCs w:val="22"/>
              </w:rPr>
              <w:t>mT</w:t>
            </w:r>
            <w:proofErr w:type="spellEnd"/>
            <w:r w:rsidRPr="0082694E">
              <w:rPr>
                <w:rFonts w:ascii="Calibri" w:hAnsi="Calibri" w:cs="Calibri"/>
                <w:color w:val="000000" w:themeColor="text1"/>
                <w:sz w:val="22"/>
                <w:szCs w:val="22"/>
              </w:rPr>
              <w:t>/m</w:t>
            </w:r>
          </w:p>
        </w:tc>
        <w:tc>
          <w:tcPr>
            <w:tcW w:w="1560" w:type="dxa"/>
            <w:shd w:val="clear" w:color="auto" w:fill="auto"/>
            <w:vAlign w:val="center"/>
          </w:tcPr>
          <w:p w14:paraId="04D417D3" w14:textId="1CBBC32E"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57A2AD94" w14:textId="6A3B88A9"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995AE2" w14:paraId="35EE0A12" w14:textId="77777777" w:rsidTr="0082694E">
        <w:trPr>
          <w:cantSplit/>
        </w:trPr>
        <w:tc>
          <w:tcPr>
            <w:tcW w:w="5103" w:type="dxa"/>
            <w:shd w:val="clear" w:color="auto" w:fill="auto"/>
          </w:tcPr>
          <w:p w14:paraId="24A55421" w14:textId="21A13C79" w:rsidR="00995AE2" w:rsidRPr="0082694E" w:rsidRDefault="00304FDF" w:rsidP="00304FDF">
            <w:pPr>
              <w:rPr>
                <w:rFonts w:ascii="Calibri" w:hAnsi="Calibri" w:cs="Calibri"/>
                <w:color w:val="000000" w:themeColor="text1"/>
                <w:sz w:val="22"/>
                <w:szCs w:val="22"/>
              </w:rPr>
            </w:pPr>
            <w:proofErr w:type="spellStart"/>
            <w:r w:rsidRPr="0082694E">
              <w:rPr>
                <w:rFonts w:ascii="Calibri" w:hAnsi="Calibri" w:cs="Calibri"/>
                <w:color w:val="000000" w:themeColor="text1"/>
                <w:sz w:val="22"/>
                <w:szCs w:val="22"/>
              </w:rPr>
              <w:t>slew</w:t>
            </w:r>
            <w:proofErr w:type="spellEnd"/>
            <w:r w:rsidRPr="0082694E">
              <w:rPr>
                <w:rFonts w:ascii="Calibri" w:hAnsi="Calibri" w:cs="Calibri"/>
                <w:color w:val="000000" w:themeColor="text1"/>
                <w:sz w:val="22"/>
                <w:szCs w:val="22"/>
              </w:rPr>
              <w:t xml:space="preserve"> </w:t>
            </w:r>
            <w:proofErr w:type="spellStart"/>
            <w:r w:rsidRPr="0082694E">
              <w:rPr>
                <w:rFonts w:ascii="Calibri" w:hAnsi="Calibri" w:cs="Calibri"/>
                <w:color w:val="000000" w:themeColor="text1"/>
                <w:sz w:val="22"/>
                <w:szCs w:val="22"/>
              </w:rPr>
              <w:t>rate</w:t>
            </w:r>
            <w:proofErr w:type="spellEnd"/>
            <w:r w:rsidRPr="0082694E">
              <w:rPr>
                <w:rFonts w:ascii="Calibri" w:hAnsi="Calibri" w:cs="Calibri"/>
                <w:color w:val="000000" w:themeColor="text1"/>
                <w:sz w:val="22"/>
                <w:szCs w:val="22"/>
              </w:rPr>
              <w:t xml:space="preserve"> ve všech směrech min. 200 </w:t>
            </w:r>
            <w:proofErr w:type="spellStart"/>
            <w:r w:rsidRPr="0082694E">
              <w:rPr>
                <w:rFonts w:ascii="Calibri" w:hAnsi="Calibri" w:cs="Calibri"/>
                <w:color w:val="000000" w:themeColor="text1"/>
                <w:sz w:val="22"/>
                <w:szCs w:val="22"/>
              </w:rPr>
              <w:t>mT</w:t>
            </w:r>
            <w:proofErr w:type="spellEnd"/>
            <w:r w:rsidRPr="0082694E">
              <w:rPr>
                <w:rFonts w:ascii="Calibri" w:hAnsi="Calibri" w:cs="Calibri"/>
                <w:color w:val="000000" w:themeColor="text1"/>
                <w:sz w:val="22"/>
                <w:szCs w:val="22"/>
              </w:rPr>
              <w:t>/m/</w:t>
            </w:r>
            <w:proofErr w:type="spellStart"/>
            <w:r w:rsidRPr="0082694E">
              <w:rPr>
                <w:rFonts w:ascii="Calibri" w:hAnsi="Calibri" w:cs="Calibri"/>
                <w:color w:val="000000" w:themeColor="text1"/>
                <w:sz w:val="22"/>
                <w:szCs w:val="22"/>
              </w:rPr>
              <w:t>ms</w:t>
            </w:r>
            <w:proofErr w:type="spellEnd"/>
            <w:r w:rsidRPr="0082694E">
              <w:rPr>
                <w:rFonts w:ascii="Calibri" w:hAnsi="Calibri" w:cs="Calibri"/>
                <w:color w:val="000000" w:themeColor="text1"/>
                <w:sz w:val="22"/>
                <w:szCs w:val="22"/>
              </w:rPr>
              <w:t xml:space="preserve"> (100% duty </w:t>
            </w:r>
            <w:proofErr w:type="spellStart"/>
            <w:r w:rsidRPr="0082694E">
              <w:rPr>
                <w:rFonts w:ascii="Calibri" w:hAnsi="Calibri" w:cs="Calibri"/>
                <w:color w:val="000000" w:themeColor="text1"/>
                <w:sz w:val="22"/>
                <w:szCs w:val="22"/>
              </w:rPr>
              <w:t>cycle</w:t>
            </w:r>
            <w:proofErr w:type="spellEnd"/>
            <w:r w:rsidRPr="0082694E">
              <w:rPr>
                <w:rFonts w:ascii="Calibri" w:hAnsi="Calibri" w:cs="Calibri"/>
                <w:color w:val="000000" w:themeColor="text1"/>
                <w:sz w:val="22"/>
                <w:szCs w:val="22"/>
              </w:rPr>
              <w:t>)</w:t>
            </w:r>
          </w:p>
        </w:tc>
        <w:tc>
          <w:tcPr>
            <w:tcW w:w="1560" w:type="dxa"/>
            <w:shd w:val="clear" w:color="auto" w:fill="auto"/>
            <w:vAlign w:val="center"/>
          </w:tcPr>
          <w:p w14:paraId="75994675" w14:textId="77777777"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1430F9DB" w14:textId="77777777"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304FDF" w14:paraId="0F4B1804" w14:textId="77777777" w:rsidTr="0082694E">
        <w:trPr>
          <w:cantSplit/>
        </w:trPr>
        <w:tc>
          <w:tcPr>
            <w:tcW w:w="5103" w:type="dxa"/>
            <w:shd w:val="clear" w:color="auto" w:fill="auto"/>
          </w:tcPr>
          <w:p w14:paraId="08052145" w14:textId="64015E8A" w:rsidR="00304FDF" w:rsidRPr="0082694E" w:rsidRDefault="00304FDF" w:rsidP="00304FDF">
            <w:pPr>
              <w:rPr>
                <w:rFonts w:ascii="Calibri" w:hAnsi="Calibri" w:cs="Calibri"/>
                <w:color w:val="000000" w:themeColor="text1"/>
                <w:sz w:val="22"/>
                <w:szCs w:val="22"/>
              </w:rPr>
            </w:pPr>
            <w:r w:rsidRPr="0082694E">
              <w:rPr>
                <w:rFonts w:ascii="Calibri" w:hAnsi="Calibri" w:cs="Calibri"/>
                <w:color w:val="000000" w:themeColor="text1"/>
                <w:sz w:val="22"/>
                <w:szCs w:val="22"/>
              </w:rPr>
              <w:t>maximální výkon vysílače, minimálně 15 kW</w:t>
            </w:r>
          </w:p>
        </w:tc>
        <w:tc>
          <w:tcPr>
            <w:tcW w:w="1560" w:type="dxa"/>
            <w:shd w:val="clear" w:color="auto" w:fill="auto"/>
            <w:vAlign w:val="center"/>
          </w:tcPr>
          <w:p w14:paraId="47DA078B" w14:textId="7215958B"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1260312C" w14:textId="4116F4F3" w:rsidR="00304FDF" w:rsidRPr="0082694E" w:rsidRDefault="00304FDF" w:rsidP="00304FDF">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995AE2" w14:paraId="0575B4D3" w14:textId="77777777" w:rsidTr="0082694E">
        <w:trPr>
          <w:cantSplit/>
        </w:trPr>
        <w:tc>
          <w:tcPr>
            <w:tcW w:w="5103" w:type="dxa"/>
            <w:shd w:val="clear" w:color="auto" w:fill="auto"/>
          </w:tcPr>
          <w:p w14:paraId="4EE4F950" w14:textId="305A1BDA" w:rsidR="00995AE2" w:rsidRPr="0082694E" w:rsidRDefault="00304FDF" w:rsidP="00995AE2">
            <w:pPr>
              <w:rPr>
                <w:rFonts w:ascii="Calibri" w:hAnsi="Calibri" w:cs="Calibri"/>
                <w:color w:val="000000" w:themeColor="text1"/>
                <w:sz w:val="22"/>
                <w:szCs w:val="22"/>
              </w:rPr>
            </w:pPr>
            <w:r w:rsidRPr="0082694E">
              <w:rPr>
                <w:rFonts w:ascii="Calibri" w:hAnsi="Calibri" w:cs="Calibri"/>
                <w:color w:val="000000" w:themeColor="text1"/>
                <w:sz w:val="22"/>
                <w:szCs w:val="22"/>
              </w:rPr>
              <w:t xml:space="preserve">pasivní </w:t>
            </w:r>
            <w:proofErr w:type="spellStart"/>
            <w:r w:rsidRPr="0082694E">
              <w:rPr>
                <w:rFonts w:ascii="Calibri" w:hAnsi="Calibri" w:cs="Calibri"/>
                <w:color w:val="000000" w:themeColor="text1"/>
                <w:sz w:val="22"/>
                <w:szCs w:val="22"/>
              </w:rPr>
              <w:t>shimming</w:t>
            </w:r>
            <w:proofErr w:type="spellEnd"/>
            <w:r w:rsidRPr="0082694E">
              <w:rPr>
                <w:rFonts w:ascii="Calibri" w:hAnsi="Calibri" w:cs="Calibri"/>
                <w:color w:val="000000" w:themeColor="text1"/>
                <w:sz w:val="22"/>
                <w:szCs w:val="22"/>
              </w:rPr>
              <w:t xml:space="preserve"> – homogenita magnetického pole ve </w:t>
            </w:r>
            <w:proofErr w:type="spellStart"/>
            <w:r w:rsidRPr="0082694E">
              <w:rPr>
                <w:rFonts w:ascii="Calibri" w:hAnsi="Calibri" w:cs="Calibri"/>
                <w:color w:val="000000" w:themeColor="text1"/>
                <w:sz w:val="22"/>
                <w:szCs w:val="22"/>
              </w:rPr>
              <w:t>sferickém</w:t>
            </w:r>
            <w:proofErr w:type="spellEnd"/>
            <w:r w:rsidRPr="0082694E">
              <w:rPr>
                <w:rFonts w:ascii="Calibri" w:hAnsi="Calibri" w:cs="Calibri"/>
                <w:color w:val="000000" w:themeColor="text1"/>
                <w:sz w:val="22"/>
                <w:szCs w:val="22"/>
              </w:rPr>
              <w:t xml:space="preserve"> objemu min. 40cm max. 1,0 </w:t>
            </w:r>
            <w:proofErr w:type="spellStart"/>
            <w:r w:rsidRPr="0082694E">
              <w:rPr>
                <w:rFonts w:ascii="Calibri" w:hAnsi="Calibri" w:cs="Calibri"/>
                <w:color w:val="000000" w:themeColor="text1"/>
                <w:sz w:val="22"/>
                <w:szCs w:val="22"/>
              </w:rPr>
              <w:t>ppm</w:t>
            </w:r>
            <w:proofErr w:type="spellEnd"/>
          </w:p>
        </w:tc>
        <w:tc>
          <w:tcPr>
            <w:tcW w:w="1560" w:type="dxa"/>
            <w:shd w:val="clear" w:color="auto" w:fill="auto"/>
            <w:vAlign w:val="center"/>
          </w:tcPr>
          <w:p w14:paraId="413D642E" w14:textId="77777777"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c>
          <w:tcPr>
            <w:tcW w:w="2970" w:type="dxa"/>
            <w:shd w:val="clear" w:color="auto" w:fill="auto"/>
            <w:vAlign w:val="center"/>
          </w:tcPr>
          <w:p w14:paraId="6B3904B0" w14:textId="77777777" w:rsidR="00995AE2" w:rsidRPr="0082694E" w:rsidRDefault="00995AE2" w:rsidP="00995AE2">
            <w:pPr>
              <w:jc w:val="center"/>
              <w:rPr>
                <w:rFonts w:ascii="Calibri" w:hAnsi="Calibri" w:cs="Calibri"/>
                <w:color w:val="FF0000"/>
                <w:sz w:val="22"/>
                <w:szCs w:val="22"/>
              </w:rPr>
            </w:pPr>
            <w:r w:rsidRPr="0082694E">
              <w:rPr>
                <w:rFonts w:ascii="Calibri" w:hAnsi="Calibri" w:cs="Calibri"/>
                <w:color w:val="FF0000"/>
                <w:sz w:val="22"/>
                <w:szCs w:val="22"/>
              </w:rPr>
              <w:t>(doplní dodavatel)</w:t>
            </w:r>
          </w:p>
        </w:tc>
      </w:tr>
      <w:tr w:rsidR="00995AE2" w14:paraId="537AD314" w14:textId="77777777" w:rsidTr="00FA2C83">
        <w:trPr>
          <w:cantSplit/>
        </w:trPr>
        <w:tc>
          <w:tcPr>
            <w:tcW w:w="5103" w:type="dxa"/>
            <w:shd w:val="clear" w:color="auto" w:fill="auto"/>
          </w:tcPr>
          <w:p w14:paraId="4935A327" w14:textId="5C7FAEC9" w:rsidR="00995AE2" w:rsidRPr="00FA2C83" w:rsidRDefault="00304FDF" w:rsidP="00995AE2">
            <w:pPr>
              <w:rPr>
                <w:rFonts w:ascii="Calibri" w:hAnsi="Calibri" w:cs="Calibri"/>
                <w:color w:val="000000" w:themeColor="text1"/>
                <w:sz w:val="22"/>
                <w:szCs w:val="22"/>
              </w:rPr>
            </w:pPr>
            <w:r w:rsidRPr="00FA2C83">
              <w:rPr>
                <w:rFonts w:ascii="Calibri" w:hAnsi="Calibri" w:cs="Calibri"/>
                <w:color w:val="000000" w:themeColor="text1"/>
                <w:sz w:val="22"/>
                <w:szCs w:val="22"/>
              </w:rPr>
              <w:lastRenderedPageBreak/>
              <w:t xml:space="preserve">Počet plně nezávislých akvizičních (přijímacích) kanálů RF systému (požadavkem se nemyslí počet cívkových elementů, které je možno připojit konektory) min.64 </w:t>
            </w:r>
          </w:p>
        </w:tc>
        <w:tc>
          <w:tcPr>
            <w:tcW w:w="1560" w:type="dxa"/>
            <w:shd w:val="clear" w:color="auto" w:fill="auto"/>
            <w:vAlign w:val="center"/>
          </w:tcPr>
          <w:p w14:paraId="29C0DE4B" w14:textId="7859E044"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671CB5E4" w14:textId="5BE0CF22"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995AE2" w14:paraId="2223AB3B" w14:textId="77777777" w:rsidTr="00FA2C83">
        <w:trPr>
          <w:cantSplit/>
        </w:trPr>
        <w:tc>
          <w:tcPr>
            <w:tcW w:w="5103" w:type="dxa"/>
            <w:shd w:val="clear" w:color="auto" w:fill="auto"/>
          </w:tcPr>
          <w:p w14:paraId="4DC462DF" w14:textId="4260146E" w:rsidR="00995AE2" w:rsidRPr="00FA2C83" w:rsidRDefault="00EB6FE5" w:rsidP="00EB6FE5">
            <w:pPr>
              <w:rPr>
                <w:rFonts w:ascii="Calibri" w:hAnsi="Calibri" w:cs="Calibri"/>
                <w:color w:val="000000" w:themeColor="text1"/>
                <w:sz w:val="22"/>
                <w:szCs w:val="22"/>
              </w:rPr>
            </w:pPr>
            <w:r w:rsidRPr="00FA2C83">
              <w:rPr>
                <w:rFonts w:ascii="Calibri" w:hAnsi="Calibri" w:cs="Calibri"/>
                <w:b/>
                <w:bCs/>
                <w:color w:val="000000" w:themeColor="text1"/>
                <w:sz w:val="22"/>
                <w:szCs w:val="22"/>
              </w:rPr>
              <w:t xml:space="preserve">Akviziční systém </w:t>
            </w:r>
          </w:p>
        </w:tc>
        <w:tc>
          <w:tcPr>
            <w:tcW w:w="1560" w:type="dxa"/>
            <w:shd w:val="clear" w:color="auto" w:fill="auto"/>
            <w:vAlign w:val="center"/>
          </w:tcPr>
          <w:p w14:paraId="0211E227" w14:textId="0B05F5E4" w:rsidR="00995AE2" w:rsidRPr="00FA2C83" w:rsidRDefault="00995AE2" w:rsidP="00995AE2">
            <w:pPr>
              <w:jc w:val="center"/>
              <w:rPr>
                <w:rFonts w:ascii="Calibri" w:hAnsi="Calibri" w:cs="Calibri"/>
                <w:color w:val="FF0000"/>
                <w:sz w:val="22"/>
                <w:szCs w:val="22"/>
              </w:rPr>
            </w:pPr>
          </w:p>
        </w:tc>
        <w:tc>
          <w:tcPr>
            <w:tcW w:w="2970" w:type="dxa"/>
            <w:shd w:val="clear" w:color="auto" w:fill="auto"/>
            <w:vAlign w:val="center"/>
          </w:tcPr>
          <w:p w14:paraId="031D9D2E" w14:textId="7ECFF564" w:rsidR="00995AE2" w:rsidRPr="00FA2C83" w:rsidRDefault="00995AE2" w:rsidP="00995AE2">
            <w:pPr>
              <w:jc w:val="center"/>
              <w:rPr>
                <w:rFonts w:ascii="Calibri" w:hAnsi="Calibri" w:cs="Calibri"/>
                <w:color w:val="FF0000"/>
                <w:sz w:val="22"/>
                <w:szCs w:val="22"/>
              </w:rPr>
            </w:pPr>
          </w:p>
        </w:tc>
      </w:tr>
      <w:tr w:rsidR="00995AE2" w14:paraId="67C706E3" w14:textId="77777777" w:rsidTr="00FA2C83">
        <w:trPr>
          <w:cantSplit/>
        </w:trPr>
        <w:tc>
          <w:tcPr>
            <w:tcW w:w="5103" w:type="dxa"/>
            <w:shd w:val="clear" w:color="auto" w:fill="auto"/>
          </w:tcPr>
          <w:p w14:paraId="4D186481" w14:textId="1206D96B" w:rsidR="00995AE2" w:rsidRPr="00FA2C83" w:rsidRDefault="00EB6FE5" w:rsidP="00EB6FE5">
            <w:pPr>
              <w:rPr>
                <w:rFonts w:ascii="Calibri" w:hAnsi="Calibri" w:cs="Calibri"/>
                <w:color w:val="000000" w:themeColor="text1"/>
                <w:sz w:val="22"/>
                <w:szCs w:val="22"/>
              </w:rPr>
            </w:pPr>
            <w:r w:rsidRPr="00FA2C83">
              <w:rPr>
                <w:rFonts w:ascii="Calibri" w:hAnsi="Calibri" w:cs="Calibri"/>
                <w:color w:val="000000" w:themeColor="text1"/>
                <w:sz w:val="22"/>
                <w:szCs w:val="22"/>
              </w:rPr>
              <w:t>Sofistikovaná automatizovaná plánování vyšetření, která umožňují maximální efektivitu a reprodukovatelnost v jejich provádění.</w:t>
            </w:r>
          </w:p>
        </w:tc>
        <w:tc>
          <w:tcPr>
            <w:tcW w:w="1560" w:type="dxa"/>
            <w:shd w:val="clear" w:color="auto" w:fill="auto"/>
            <w:vAlign w:val="center"/>
          </w:tcPr>
          <w:p w14:paraId="3BD4839A" w14:textId="285F2598"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62C98382" w14:textId="6532107B"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995AE2" w14:paraId="2ABC212C" w14:textId="77777777" w:rsidTr="00FA2C83">
        <w:trPr>
          <w:cantSplit/>
        </w:trPr>
        <w:tc>
          <w:tcPr>
            <w:tcW w:w="5103" w:type="dxa"/>
            <w:shd w:val="clear" w:color="auto" w:fill="auto"/>
          </w:tcPr>
          <w:p w14:paraId="69DB3F0C" w14:textId="20ACFE91" w:rsidR="00995AE2" w:rsidRPr="00FA2C83" w:rsidRDefault="00EB6FE5" w:rsidP="00EB6FE5">
            <w:pPr>
              <w:rPr>
                <w:rFonts w:ascii="Calibri" w:hAnsi="Calibri" w:cs="Calibri"/>
                <w:color w:val="000000" w:themeColor="text1"/>
                <w:sz w:val="22"/>
                <w:szCs w:val="22"/>
              </w:rPr>
            </w:pPr>
            <w:r w:rsidRPr="00FA2C83">
              <w:rPr>
                <w:rFonts w:ascii="Calibri" w:hAnsi="Calibri" w:cs="Calibri"/>
                <w:color w:val="000000" w:themeColor="text1"/>
                <w:sz w:val="22"/>
                <w:szCs w:val="22"/>
              </w:rPr>
              <w:t xml:space="preserve">Nástroje pro automatizované plánování </w:t>
            </w:r>
            <w:proofErr w:type="spellStart"/>
            <w:r w:rsidRPr="00FA2C83">
              <w:rPr>
                <w:rFonts w:ascii="Calibri" w:hAnsi="Calibri" w:cs="Calibri"/>
                <w:color w:val="000000" w:themeColor="text1"/>
                <w:sz w:val="22"/>
                <w:szCs w:val="22"/>
              </w:rPr>
              <w:t>kardio</w:t>
            </w:r>
            <w:proofErr w:type="spellEnd"/>
            <w:r w:rsidRPr="00FA2C83">
              <w:rPr>
                <w:rFonts w:ascii="Calibri" w:hAnsi="Calibri" w:cs="Calibri"/>
                <w:color w:val="000000" w:themeColor="text1"/>
                <w:sz w:val="22"/>
                <w:szCs w:val="22"/>
              </w:rPr>
              <w:t xml:space="preserve"> vyšetření</w:t>
            </w:r>
          </w:p>
        </w:tc>
        <w:tc>
          <w:tcPr>
            <w:tcW w:w="1560" w:type="dxa"/>
            <w:shd w:val="clear" w:color="auto" w:fill="auto"/>
            <w:vAlign w:val="center"/>
          </w:tcPr>
          <w:p w14:paraId="1B0EAB4B" w14:textId="3773E796"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1CCE205C" w14:textId="7703C431"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995AE2" w14:paraId="302F4F86" w14:textId="77777777" w:rsidTr="00FA2C83">
        <w:trPr>
          <w:cantSplit/>
        </w:trPr>
        <w:tc>
          <w:tcPr>
            <w:tcW w:w="5103" w:type="dxa"/>
            <w:shd w:val="clear" w:color="auto" w:fill="auto"/>
          </w:tcPr>
          <w:p w14:paraId="5D633B0C" w14:textId="5DB8E7C0" w:rsidR="00995AE2" w:rsidRPr="00FA2C83" w:rsidRDefault="00EB6FE5" w:rsidP="00995AE2">
            <w:pPr>
              <w:rPr>
                <w:rFonts w:ascii="Calibri" w:hAnsi="Calibri" w:cs="Calibri"/>
                <w:color w:val="000000" w:themeColor="text1"/>
                <w:sz w:val="22"/>
                <w:szCs w:val="22"/>
              </w:rPr>
            </w:pPr>
            <w:r w:rsidRPr="00FA2C83">
              <w:rPr>
                <w:rFonts w:ascii="Calibri" w:hAnsi="Calibri" w:cs="Calibri"/>
                <w:color w:val="000000" w:themeColor="text1"/>
                <w:sz w:val="22"/>
                <w:szCs w:val="22"/>
              </w:rPr>
              <w:t>výkonný akviziční systém s min. 32GB rekonstrukční pamětí a s rekonstrukční matricí až 1024x1024</w:t>
            </w:r>
          </w:p>
        </w:tc>
        <w:tc>
          <w:tcPr>
            <w:tcW w:w="1560" w:type="dxa"/>
            <w:shd w:val="clear" w:color="auto" w:fill="auto"/>
            <w:vAlign w:val="center"/>
          </w:tcPr>
          <w:p w14:paraId="42DD2ED3" w14:textId="58FAB6AB" w:rsidR="00995AE2" w:rsidRPr="00FA2C83" w:rsidRDefault="00EB6FE5"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A5A2AF8" w14:textId="253E9484" w:rsidR="00995AE2" w:rsidRPr="00FA2C83" w:rsidRDefault="00EB6FE5"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995AE2" w14:paraId="6339501A" w14:textId="77777777" w:rsidTr="00D46083">
        <w:trPr>
          <w:cantSplit/>
        </w:trPr>
        <w:tc>
          <w:tcPr>
            <w:tcW w:w="5103" w:type="dxa"/>
            <w:shd w:val="clear" w:color="auto" w:fill="auto"/>
            <w:vAlign w:val="center"/>
          </w:tcPr>
          <w:p w14:paraId="63EA17FB" w14:textId="23C7537E" w:rsidR="00995AE2" w:rsidRPr="00FA2C83" w:rsidRDefault="00EB6FE5" w:rsidP="00995AE2">
            <w:pPr>
              <w:rPr>
                <w:rFonts w:ascii="Calibri" w:hAnsi="Calibri" w:cs="Calibri"/>
                <w:color w:val="000000" w:themeColor="text1"/>
                <w:sz w:val="22"/>
                <w:szCs w:val="22"/>
              </w:rPr>
            </w:pPr>
            <w:r w:rsidRPr="00FA2C83">
              <w:rPr>
                <w:rFonts w:ascii="Calibri" w:hAnsi="Calibri" w:cs="Calibri"/>
                <w:color w:val="000000" w:themeColor="text1"/>
                <w:sz w:val="22"/>
                <w:szCs w:val="22"/>
              </w:rPr>
              <w:t>barevný LCD monitor, úhlopříčka minimálně „19 “</w:t>
            </w:r>
          </w:p>
        </w:tc>
        <w:tc>
          <w:tcPr>
            <w:tcW w:w="1560" w:type="dxa"/>
            <w:shd w:val="clear" w:color="auto" w:fill="auto"/>
            <w:vAlign w:val="center"/>
          </w:tcPr>
          <w:p w14:paraId="26A6D9E4" w14:textId="2699D817"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6A01D445" w14:textId="6AF08247" w:rsidR="00995AE2" w:rsidRPr="00FA2C83" w:rsidRDefault="00995AE2" w:rsidP="00995AE2">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61C62FC4" w14:textId="77777777" w:rsidTr="00D46083">
        <w:trPr>
          <w:cantSplit/>
        </w:trPr>
        <w:tc>
          <w:tcPr>
            <w:tcW w:w="5103" w:type="dxa"/>
            <w:shd w:val="clear" w:color="auto" w:fill="auto"/>
            <w:vAlign w:val="center"/>
          </w:tcPr>
          <w:p w14:paraId="389F68DE" w14:textId="6846297A" w:rsidR="00B4069C" w:rsidRPr="00FA2C83" w:rsidRDefault="00EB6FE5" w:rsidP="00B4069C">
            <w:pPr>
              <w:rPr>
                <w:rFonts w:ascii="Calibri" w:hAnsi="Calibri" w:cs="Calibri"/>
                <w:color w:val="000000" w:themeColor="text1"/>
                <w:sz w:val="22"/>
                <w:szCs w:val="22"/>
              </w:rPr>
            </w:pPr>
            <w:r w:rsidRPr="00FA2C83">
              <w:rPr>
                <w:rFonts w:ascii="Calibri" w:hAnsi="Calibri" w:cs="Calibri"/>
                <w:color w:val="000000" w:themeColor="text1"/>
                <w:sz w:val="22"/>
                <w:szCs w:val="22"/>
              </w:rPr>
              <w:t>možnost archivace vyšetření na CD/DVD</w:t>
            </w:r>
          </w:p>
        </w:tc>
        <w:tc>
          <w:tcPr>
            <w:tcW w:w="1560" w:type="dxa"/>
            <w:shd w:val="clear" w:color="auto" w:fill="auto"/>
            <w:vAlign w:val="center"/>
          </w:tcPr>
          <w:p w14:paraId="5686E54A" w14:textId="4D512BD7" w:rsidR="00B4069C" w:rsidRPr="00FA2C83" w:rsidRDefault="00EB6FE5"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10171D28" w14:textId="3E0BA901" w:rsidR="00B4069C" w:rsidRPr="00FA2C83" w:rsidRDefault="00EB6FE5"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7453C2EF" w14:textId="77777777" w:rsidTr="00D46083">
        <w:trPr>
          <w:cantSplit/>
        </w:trPr>
        <w:tc>
          <w:tcPr>
            <w:tcW w:w="5103" w:type="dxa"/>
            <w:shd w:val="clear" w:color="auto" w:fill="auto"/>
            <w:vAlign w:val="center"/>
          </w:tcPr>
          <w:p w14:paraId="5C3AEAD5" w14:textId="34BBD38D" w:rsidR="00B4069C" w:rsidRPr="00FA2C83" w:rsidRDefault="00EB6FE5" w:rsidP="00B4069C">
            <w:pPr>
              <w:rPr>
                <w:rFonts w:ascii="Calibri" w:hAnsi="Calibri" w:cs="Calibri"/>
                <w:color w:val="000000" w:themeColor="text1"/>
                <w:sz w:val="22"/>
                <w:szCs w:val="22"/>
              </w:rPr>
            </w:pPr>
            <w:r w:rsidRPr="00FA2C83">
              <w:rPr>
                <w:rFonts w:ascii="Calibri" w:hAnsi="Calibri" w:cs="Calibri"/>
                <w:color w:val="000000" w:themeColor="text1"/>
                <w:sz w:val="22"/>
                <w:szCs w:val="22"/>
              </w:rPr>
              <w:t>synchronizace měření se signálem EKG a respirace</w:t>
            </w:r>
          </w:p>
        </w:tc>
        <w:tc>
          <w:tcPr>
            <w:tcW w:w="1560" w:type="dxa"/>
            <w:shd w:val="clear" w:color="auto" w:fill="auto"/>
            <w:vAlign w:val="center"/>
          </w:tcPr>
          <w:p w14:paraId="5B4FE75C" w14:textId="4E838DE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236BA989" w14:textId="27E8C0F9"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7DFDADF0" w14:textId="77777777" w:rsidTr="00FA2C83">
        <w:trPr>
          <w:cantSplit/>
        </w:trPr>
        <w:tc>
          <w:tcPr>
            <w:tcW w:w="5103" w:type="dxa"/>
            <w:shd w:val="clear" w:color="auto" w:fill="auto"/>
          </w:tcPr>
          <w:p w14:paraId="07C90F5F" w14:textId="3515C8AC" w:rsidR="00B4069C" w:rsidRPr="00FA2C83" w:rsidRDefault="00EB6FE5" w:rsidP="00B4069C">
            <w:pPr>
              <w:rPr>
                <w:rFonts w:ascii="Calibri" w:hAnsi="Calibri" w:cs="Calibri"/>
                <w:color w:val="000000" w:themeColor="text1"/>
                <w:sz w:val="22"/>
                <w:szCs w:val="22"/>
              </w:rPr>
            </w:pPr>
            <w:r w:rsidRPr="00FA2C83">
              <w:rPr>
                <w:rFonts w:ascii="Calibri" w:hAnsi="Calibri" w:cs="Calibri"/>
                <w:sz w:val="22"/>
                <w:szCs w:val="22"/>
              </w:rPr>
              <w:t>r</w:t>
            </w:r>
            <w:r w:rsidRPr="00FA2C83">
              <w:rPr>
                <w:rFonts w:ascii="Calibri" w:hAnsi="Calibri" w:cs="Calibri"/>
                <w:color w:val="000000" w:themeColor="text1"/>
                <w:sz w:val="22"/>
                <w:szCs w:val="22"/>
              </w:rPr>
              <w:t>ychlost rekonstrukce obrazu minimálně 32000 obrazů/s při obrazové pro matici 256x256</w:t>
            </w:r>
          </w:p>
        </w:tc>
        <w:tc>
          <w:tcPr>
            <w:tcW w:w="1560" w:type="dxa"/>
            <w:shd w:val="clear" w:color="auto" w:fill="auto"/>
            <w:vAlign w:val="center"/>
          </w:tcPr>
          <w:p w14:paraId="475F6203" w14:textId="00227BF0" w:rsidR="00B4069C" w:rsidRPr="00FA2C83" w:rsidRDefault="00EB6FE5"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13FF744" w14:textId="45F9632E" w:rsidR="00B4069C" w:rsidRPr="00FA2C83" w:rsidRDefault="00EB6FE5"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11A71902" w14:textId="77777777" w:rsidTr="00FA2C83">
        <w:trPr>
          <w:cantSplit/>
        </w:trPr>
        <w:tc>
          <w:tcPr>
            <w:tcW w:w="5103" w:type="dxa"/>
            <w:shd w:val="clear" w:color="auto" w:fill="auto"/>
          </w:tcPr>
          <w:p w14:paraId="1D429E10" w14:textId="160F27B9" w:rsidR="00B4069C" w:rsidRPr="00FA2C83" w:rsidRDefault="00EB6FE5" w:rsidP="00B4069C">
            <w:pPr>
              <w:rPr>
                <w:rFonts w:ascii="Calibri" w:hAnsi="Calibri" w:cs="Calibri"/>
                <w:bCs/>
                <w:sz w:val="22"/>
                <w:szCs w:val="22"/>
              </w:rPr>
            </w:pPr>
            <w:r w:rsidRPr="00FA2C83">
              <w:rPr>
                <w:rFonts w:ascii="Calibri" w:hAnsi="Calibri" w:cs="Calibri"/>
                <w:color w:val="000000" w:themeColor="text1"/>
                <w:sz w:val="22"/>
                <w:szCs w:val="22"/>
              </w:rPr>
              <w:t xml:space="preserve">DICOM Služby min – </w:t>
            </w:r>
            <w:proofErr w:type="spellStart"/>
            <w:r w:rsidRPr="00FA2C83">
              <w:rPr>
                <w:rFonts w:ascii="Calibri" w:hAnsi="Calibri" w:cs="Calibri"/>
                <w:color w:val="000000" w:themeColor="text1"/>
                <w:sz w:val="22"/>
                <w:szCs w:val="22"/>
              </w:rPr>
              <w:t>Print</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Query</w:t>
            </w:r>
            <w:proofErr w:type="spellEnd"/>
            <w:r w:rsidRPr="00FA2C83">
              <w:rPr>
                <w:rFonts w:ascii="Calibri" w:hAnsi="Calibri" w:cs="Calibri"/>
                <w:color w:val="000000" w:themeColor="text1"/>
                <w:sz w:val="22"/>
                <w:szCs w:val="22"/>
              </w:rPr>
              <w:t>/</w:t>
            </w:r>
            <w:proofErr w:type="spellStart"/>
            <w:r w:rsidRPr="00FA2C83">
              <w:rPr>
                <w:rFonts w:ascii="Calibri" w:hAnsi="Calibri" w:cs="Calibri"/>
                <w:color w:val="000000" w:themeColor="text1"/>
                <w:sz w:val="22"/>
                <w:szCs w:val="22"/>
              </w:rPr>
              <w:t>retrieve</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Send</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Worklist</w:t>
            </w:r>
            <w:proofErr w:type="spellEnd"/>
          </w:p>
        </w:tc>
        <w:tc>
          <w:tcPr>
            <w:tcW w:w="1560" w:type="dxa"/>
            <w:shd w:val="clear" w:color="auto" w:fill="auto"/>
            <w:vAlign w:val="center"/>
          </w:tcPr>
          <w:p w14:paraId="1FB67BD8" w14:textId="7BC6945B"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6B9D181" w14:textId="1B7825D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53CC983A" w14:textId="77777777" w:rsidTr="00FA2C83">
        <w:trPr>
          <w:cantSplit/>
        </w:trPr>
        <w:tc>
          <w:tcPr>
            <w:tcW w:w="5103" w:type="dxa"/>
            <w:shd w:val="clear" w:color="auto" w:fill="auto"/>
          </w:tcPr>
          <w:p w14:paraId="7BAD9683" w14:textId="068A6BB0" w:rsidR="00B4069C" w:rsidRPr="00FA2C83" w:rsidRDefault="00EB6FE5" w:rsidP="00B4069C">
            <w:pPr>
              <w:rPr>
                <w:rFonts w:ascii="Calibri" w:hAnsi="Calibri" w:cs="Calibri"/>
                <w:bCs/>
                <w:sz w:val="22"/>
                <w:szCs w:val="22"/>
              </w:rPr>
            </w:pPr>
            <w:r w:rsidRPr="00FA2C83">
              <w:rPr>
                <w:rFonts w:ascii="Calibri" w:hAnsi="Calibri" w:cs="Calibri"/>
                <w:color w:val="000000" w:themeColor="text1"/>
                <w:sz w:val="22"/>
                <w:szCs w:val="22"/>
              </w:rPr>
              <w:t>Použití umělé inteligence (DLR) pro optimalizaci rychlosti a kvality skenování v oblasti mozku, břicha, malé pánve, velkých a malých kloubů</w:t>
            </w:r>
          </w:p>
        </w:tc>
        <w:tc>
          <w:tcPr>
            <w:tcW w:w="1560" w:type="dxa"/>
            <w:shd w:val="clear" w:color="auto" w:fill="auto"/>
            <w:vAlign w:val="center"/>
          </w:tcPr>
          <w:p w14:paraId="4D7423D6" w14:textId="0C36556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7B8FB982" w14:textId="6B51855F"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303BEC67" w14:textId="77777777" w:rsidTr="00FA2C83">
        <w:trPr>
          <w:cantSplit/>
        </w:trPr>
        <w:tc>
          <w:tcPr>
            <w:tcW w:w="5103" w:type="dxa"/>
            <w:shd w:val="clear" w:color="auto" w:fill="auto"/>
          </w:tcPr>
          <w:p w14:paraId="3E5436F1" w14:textId="435077D4" w:rsidR="00B4069C" w:rsidRPr="00FA2C83" w:rsidRDefault="009C4FEE" w:rsidP="00B4069C">
            <w:pPr>
              <w:rPr>
                <w:rFonts w:ascii="Calibri" w:hAnsi="Calibri" w:cs="Calibri"/>
                <w:bCs/>
                <w:sz w:val="22"/>
                <w:szCs w:val="22"/>
              </w:rPr>
            </w:pPr>
            <w:r w:rsidRPr="00FA2C83">
              <w:rPr>
                <w:rFonts w:ascii="Calibri" w:hAnsi="Calibri" w:cs="Calibri"/>
                <w:b/>
                <w:bCs/>
                <w:color w:val="000000" w:themeColor="text1"/>
                <w:sz w:val="22"/>
                <w:szCs w:val="22"/>
              </w:rPr>
              <w:t>Sada povrchových multikanálových cívek pro plné a nejvhodnější pokrytí požadovaného spektra vyšetření v rozsahu</w:t>
            </w:r>
          </w:p>
        </w:tc>
        <w:tc>
          <w:tcPr>
            <w:tcW w:w="1560" w:type="dxa"/>
            <w:shd w:val="clear" w:color="auto" w:fill="auto"/>
            <w:vAlign w:val="center"/>
          </w:tcPr>
          <w:p w14:paraId="3FCC9145" w14:textId="5AA742C6" w:rsidR="00B4069C" w:rsidRPr="00A04FF7" w:rsidRDefault="00B4069C" w:rsidP="00B4069C">
            <w:pPr>
              <w:jc w:val="center"/>
              <w:rPr>
                <w:rFonts w:ascii="Calibri" w:hAnsi="Calibri" w:cs="Calibri"/>
                <w:color w:val="FF0000"/>
                <w:szCs w:val="20"/>
              </w:rPr>
            </w:pPr>
          </w:p>
        </w:tc>
        <w:tc>
          <w:tcPr>
            <w:tcW w:w="2970" w:type="dxa"/>
            <w:shd w:val="clear" w:color="auto" w:fill="auto"/>
            <w:vAlign w:val="center"/>
          </w:tcPr>
          <w:p w14:paraId="25EDD61D" w14:textId="257D8014" w:rsidR="00B4069C" w:rsidRPr="00A04FF7" w:rsidRDefault="00B4069C" w:rsidP="00B4069C">
            <w:pPr>
              <w:jc w:val="center"/>
              <w:rPr>
                <w:rFonts w:ascii="Calibri" w:hAnsi="Calibri" w:cs="Calibri"/>
                <w:color w:val="FF0000"/>
                <w:szCs w:val="20"/>
              </w:rPr>
            </w:pPr>
          </w:p>
        </w:tc>
      </w:tr>
      <w:tr w:rsidR="00B4069C" w14:paraId="4672E97B" w14:textId="77777777" w:rsidTr="00FA2C83">
        <w:trPr>
          <w:cantSplit/>
        </w:trPr>
        <w:tc>
          <w:tcPr>
            <w:tcW w:w="5103" w:type="dxa"/>
            <w:shd w:val="clear" w:color="auto" w:fill="auto"/>
          </w:tcPr>
          <w:p w14:paraId="4BC2AEE9" w14:textId="1AD7469A" w:rsidR="00B4069C" w:rsidRPr="00FA2C83" w:rsidRDefault="009C4FEE" w:rsidP="00B4069C">
            <w:pPr>
              <w:rPr>
                <w:rFonts w:ascii="Calibri" w:hAnsi="Calibri" w:cs="Calibri"/>
                <w:color w:val="000000" w:themeColor="text1"/>
                <w:sz w:val="22"/>
                <w:szCs w:val="22"/>
              </w:rPr>
            </w:pPr>
            <w:r w:rsidRPr="00FA2C83">
              <w:rPr>
                <w:rFonts w:ascii="Calibri" w:hAnsi="Calibri" w:cs="Calibri"/>
                <w:color w:val="000000" w:themeColor="text1"/>
                <w:sz w:val="22"/>
                <w:szCs w:val="22"/>
              </w:rPr>
              <w:t xml:space="preserve">1 ks vícekanálová přijímací </w:t>
            </w:r>
            <w:proofErr w:type="spellStart"/>
            <w:r w:rsidRPr="00FA2C83">
              <w:rPr>
                <w:rFonts w:ascii="Calibri" w:hAnsi="Calibri" w:cs="Calibri"/>
                <w:color w:val="000000" w:themeColor="text1"/>
                <w:sz w:val="22"/>
                <w:szCs w:val="22"/>
              </w:rPr>
              <w:t>neurovaskulární</w:t>
            </w:r>
            <w:proofErr w:type="spellEnd"/>
            <w:r w:rsidRPr="00FA2C83">
              <w:rPr>
                <w:rFonts w:ascii="Calibri" w:hAnsi="Calibri" w:cs="Calibri"/>
                <w:color w:val="000000" w:themeColor="text1"/>
                <w:sz w:val="22"/>
                <w:szCs w:val="22"/>
              </w:rPr>
              <w:t xml:space="preserve"> RF cívka pro měření </w:t>
            </w:r>
            <w:proofErr w:type="spellStart"/>
            <w:r w:rsidRPr="00FA2C83">
              <w:rPr>
                <w:rFonts w:ascii="Calibri" w:hAnsi="Calibri" w:cs="Calibri"/>
                <w:color w:val="000000" w:themeColor="text1"/>
                <w:sz w:val="22"/>
                <w:szCs w:val="22"/>
              </w:rPr>
              <w:t>hlavokrční</w:t>
            </w:r>
            <w:proofErr w:type="spellEnd"/>
            <w:r w:rsidRPr="00FA2C83">
              <w:rPr>
                <w:rFonts w:ascii="Calibri" w:hAnsi="Calibri" w:cs="Calibri"/>
                <w:color w:val="000000" w:themeColor="text1"/>
                <w:sz w:val="22"/>
                <w:szCs w:val="22"/>
              </w:rPr>
              <w:t xml:space="preserve"> oblasti s min. 15 kanály</w:t>
            </w:r>
          </w:p>
        </w:tc>
        <w:tc>
          <w:tcPr>
            <w:tcW w:w="1560" w:type="dxa"/>
            <w:shd w:val="clear" w:color="auto" w:fill="auto"/>
            <w:vAlign w:val="center"/>
          </w:tcPr>
          <w:p w14:paraId="06BCF6E4" w14:textId="377AB4B4" w:rsidR="00B4069C" w:rsidRPr="00A04FF7" w:rsidRDefault="009C4FEE" w:rsidP="00B4069C">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vAlign w:val="center"/>
          </w:tcPr>
          <w:p w14:paraId="1A583EEE" w14:textId="797336C7" w:rsidR="00B4069C" w:rsidRPr="00A04FF7" w:rsidRDefault="009C4FEE" w:rsidP="00B4069C">
            <w:pPr>
              <w:jc w:val="center"/>
              <w:rPr>
                <w:rFonts w:ascii="Calibri" w:hAnsi="Calibri" w:cs="Calibri"/>
                <w:color w:val="FF0000"/>
                <w:szCs w:val="20"/>
              </w:rPr>
            </w:pPr>
            <w:r w:rsidRPr="00866537">
              <w:rPr>
                <w:rFonts w:ascii="Calibri" w:hAnsi="Calibri" w:cs="Calibri"/>
                <w:color w:val="FF0000"/>
                <w:szCs w:val="20"/>
              </w:rPr>
              <w:t>(doplní dodavatel)</w:t>
            </w:r>
          </w:p>
        </w:tc>
      </w:tr>
      <w:tr w:rsidR="00B4069C" w14:paraId="7A005DA1" w14:textId="77777777" w:rsidTr="00FA2C83">
        <w:trPr>
          <w:cantSplit/>
        </w:trPr>
        <w:tc>
          <w:tcPr>
            <w:tcW w:w="5103" w:type="dxa"/>
            <w:shd w:val="clear" w:color="auto" w:fill="auto"/>
          </w:tcPr>
          <w:p w14:paraId="1A140B3E" w14:textId="102E0FE1" w:rsidR="00B4069C" w:rsidRPr="00FA2C83" w:rsidRDefault="009C4FEE" w:rsidP="009C4FEE">
            <w:pPr>
              <w:rPr>
                <w:rFonts w:ascii="Calibri" w:hAnsi="Calibri" w:cs="Calibri"/>
                <w:bCs/>
                <w:sz w:val="22"/>
                <w:szCs w:val="22"/>
              </w:rPr>
            </w:pPr>
            <w:r w:rsidRPr="00FA2C83">
              <w:rPr>
                <w:rFonts w:ascii="Calibri" w:hAnsi="Calibri" w:cs="Calibri"/>
                <w:color w:val="000000" w:themeColor="text1"/>
                <w:sz w:val="22"/>
                <w:szCs w:val="22"/>
              </w:rPr>
              <w:t xml:space="preserve">1 ks </w:t>
            </w:r>
            <w:proofErr w:type="spellStart"/>
            <w:r w:rsidRPr="00FA2C83">
              <w:rPr>
                <w:rFonts w:ascii="Calibri" w:hAnsi="Calibri" w:cs="Calibri"/>
                <w:color w:val="000000" w:themeColor="text1"/>
                <w:sz w:val="22"/>
                <w:szCs w:val="22"/>
              </w:rPr>
              <w:t>celopáteřní</w:t>
            </w:r>
            <w:proofErr w:type="spellEnd"/>
            <w:r w:rsidRPr="00FA2C83">
              <w:rPr>
                <w:rFonts w:ascii="Calibri" w:hAnsi="Calibri" w:cs="Calibri"/>
                <w:color w:val="000000" w:themeColor="text1"/>
                <w:sz w:val="22"/>
                <w:szCs w:val="22"/>
              </w:rPr>
              <w:t xml:space="preserve"> přijímací vícekanálová RF cívka integrovaná do pacientského stolu s min. 32 kanály</w:t>
            </w:r>
            <w:r w:rsidRPr="00FA2C83">
              <w:rPr>
                <w:rFonts w:cstheme="minorHAnsi"/>
                <w:sz w:val="22"/>
                <w:szCs w:val="22"/>
              </w:rPr>
              <w:t xml:space="preserve"> </w:t>
            </w:r>
          </w:p>
        </w:tc>
        <w:tc>
          <w:tcPr>
            <w:tcW w:w="1560" w:type="dxa"/>
            <w:shd w:val="clear" w:color="auto" w:fill="auto"/>
            <w:vAlign w:val="center"/>
          </w:tcPr>
          <w:p w14:paraId="0E001B6D" w14:textId="632519FC"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vAlign w:val="center"/>
          </w:tcPr>
          <w:p w14:paraId="3528D1AB" w14:textId="17C650A2" w:rsidR="00B4069C" w:rsidRPr="00A04FF7" w:rsidRDefault="00B4069C" w:rsidP="00B4069C">
            <w:pPr>
              <w:jc w:val="center"/>
              <w:rPr>
                <w:rFonts w:ascii="Calibri" w:hAnsi="Calibri" w:cs="Calibri"/>
                <w:color w:val="FF0000"/>
                <w:szCs w:val="20"/>
              </w:rPr>
            </w:pPr>
            <w:r w:rsidRPr="00866537">
              <w:rPr>
                <w:rFonts w:ascii="Calibri" w:hAnsi="Calibri" w:cs="Calibri"/>
                <w:color w:val="FF0000"/>
                <w:szCs w:val="20"/>
              </w:rPr>
              <w:t>(doplní dodavatel)</w:t>
            </w:r>
          </w:p>
        </w:tc>
      </w:tr>
      <w:tr w:rsidR="00B4069C" w14:paraId="1C40872C" w14:textId="77777777" w:rsidTr="00FA2C83">
        <w:trPr>
          <w:cantSplit/>
        </w:trPr>
        <w:tc>
          <w:tcPr>
            <w:tcW w:w="5103" w:type="dxa"/>
            <w:shd w:val="clear" w:color="auto" w:fill="auto"/>
          </w:tcPr>
          <w:p w14:paraId="09C254BA" w14:textId="27A76F19" w:rsidR="00B4069C" w:rsidRPr="00FA2C83" w:rsidRDefault="009C4FEE" w:rsidP="00B4069C">
            <w:pPr>
              <w:rPr>
                <w:rFonts w:ascii="Calibri" w:hAnsi="Calibri" w:cs="Calibri"/>
                <w:bCs/>
                <w:sz w:val="22"/>
                <w:szCs w:val="22"/>
              </w:rPr>
            </w:pPr>
            <w:r w:rsidRPr="00FA2C83">
              <w:rPr>
                <w:rFonts w:ascii="Calibri" w:hAnsi="Calibri" w:cs="Calibri"/>
                <w:color w:val="000000" w:themeColor="text1"/>
                <w:sz w:val="22"/>
                <w:szCs w:val="22"/>
              </w:rPr>
              <w:t xml:space="preserve">1 ks dedikovaná pevná cívka pro vyšetření kolenního </w:t>
            </w:r>
            <w:proofErr w:type="spellStart"/>
            <w:r w:rsidRPr="00FA2C83">
              <w:rPr>
                <w:rFonts w:ascii="Calibri" w:hAnsi="Calibri" w:cs="Calibri"/>
                <w:color w:val="000000" w:themeColor="text1"/>
                <w:sz w:val="22"/>
                <w:szCs w:val="22"/>
              </w:rPr>
              <w:t>kloubus</w:t>
            </w:r>
            <w:proofErr w:type="spellEnd"/>
            <w:r w:rsidRPr="00FA2C83">
              <w:rPr>
                <w:rFonts w:ascii="Calibri" w:hAnsi="Calibri" w:cs="Calibri"/>
                <w:color w:val="000000" w:themeColor="text1"/>
                <w:sz w:val="22"/>
                <w:szCs w:val="22"/>
              </w:rPr>
              <w:t xml:space="preserve">  konstrukcí vysílací/přijímací (</w:t>
            </w:r>
            <w:proofErr w:type="spellStart"/>
            <w:r w:rsidRPr="00FA2C83">
              <w:rPr>
                <w:rFonts w:ascii="Calibri" w:hAnsi="Calibri" w:cs="Calibri"/>
                <w:color w:val="000000" w:themeColor="text1"/>
                <w:sz w:val="22"/>
                <w:szCs w:val="22"/>
              </w:rPr>
              <w:t>Tx</w:t>
            </w:r>
            <w:proofErr w:type="spellEnd"/>
            <w:r w:rsidRPr="00FA2C83">
              <w:rPr>
                <w:rFonts w:ascii="Calibri" w:hAnsi="Calibri" w:cs="Calibri"/>
                <w:color w:val="000000" w:themeColor="text1"/>
                <w:sz w:val="22"/>
                <w:szCs w:val="22"/>
              </w:rPr>
              <w:t>/</w:t>
            </w:r>
            <w:proofErr w:type="spellStart"/>
            <w:r w:rsidRPr="00FA2C83">
              <w:rPr>
                <w:rFonts w:ascii="Calibri" w:hAnsi="Calibri" w:cs="Calibri"/>
                <w:color w:val="000000" w:themeColor="text1"/>
                <w:sz w:val="22"/>
                <w:szCs w:val="22"/>
              </w:rPr>
              <w:t>Rx</w:t>
            </w:r>
            <w:proofErr w:type="spellEnd"/>
            <w:r w:rsidRPr="00FA2C83">
              <w:rPr>
                <w:rFonts w:ascii="Calibri" w:hAnsi="Calibri" w:cs="Calibri"/>
                <w:color w:val="000000" w:themeColor="text1"/>
                <w:sz w:val="22"/>
                <w:szCs w:val="22"/>
              </w:rPr>
              <w:t>) min 16 kanálů</w:t>
            </w:r>
          </w:p>
        </w:tc>
        <w:tc>
          <w:tcPr>
            <w:tcW w:w="1560" w:type="dxa"/>
            <w:shd w:val="clear" w:color="auto" w:fill="auto"/>
            <w:vAlign w:val="center"/>
          </w:tcPr>
          <w:p w14:paraId="7F391CAA" w14:textId="6C29E600" w:rsidR="00B4069C" w:rsidRPr="00A04FF7" w:rsidRDefault="00B4069C" w:rsidP="00B4069C">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vAlign w:val="center"/>
          </w:tcPr>
          <w:p w14:paraId="4D0D8F55" w14:textId="1E698AFC" w:rsidR="00B4069C" w:rsidRPr="00A04FF7" w:rsidRDefault="00B4069C" w:rsidP="00B4069C">
            <w:pPr>
              <w:jc w:val="center"/>
              <w:rPr>
                <w:rFonts w:ascii="Calibri" w:hAnsi="Calibri" w:cs="Calibri"/>
                <w:color w:val="FF0000"/>
                <w:szCs w:val="20"/>
              </w:rPr>
            </w:pPr>
            <w:r w:rsidRPr="00F2717D">
              <w:rPr>
                <w:rFonts w:ascii="Calibri" w:hAnsi="Calibri" w:cs="Calibri"/>
                <w:color w:val="FF0000"/>
                <w:szCs w:val="20"/>
              </w:rPr>
              <w:t>(doplní dodavatel)</w:t>
            </w:r>
          </w:p>
        </w:tc>
      </w:tr>
      <w:tr w:rsidR="00B4069C" w14:paraId="488CBC61" w14:textId="77777777" w:rsidTr="00D46083">
        <w:trPr>
          <w:cantSplit/>
        </w:trPr>
        <w:tc>
          <w:tcPr>
            <w:tcW w:w="5103" w:type="dxa"/>
            <w:shd w:val="clear" w:color="auto" w:fill="auto"/>
            <w:vAlign w:val="center"/>
          </w:tcPr>
          <w:p w14:paraId="4445EC28" w14:textId="1DFBE263" w:rsidR="00B4069C" w:rsidRPr="00FA2C83" w:rsidRDefault="009C4FEE" w:rsidP="009C4FEE">
            <w:pPr>
              <w:pStyle w:val="Normlnweb"/>
              <w:spacing w:after="120"/>
              <w:rPr>
                <w:rFonts w:ascii="Calibri" w:hAnsi="Calibri" w:cs="Calibri"/>
                <w:bCs/>
                <w:sz w:val="22"/>
                <w:szCs w:val="22"/>
              </w:rPr>
            </w:pPr>
            <w:r w:rsidRPr="00FA2C83">
              <w:rPr>
                <w:rFonts w:ascii="Calibri" w:hAnsi="Calibri" w:cs="Calibri"/>
                <w:color w:val="000000" w:themeColor="text1"/>
                <w:sz w:val="22"/>
                <w:szCs w:val="22"/>
              </w:rPr>
              <w:t>1 ks dedikovaná pevná</w:t>
            </w:r>
            <w:r w:rsidRPr="00FA2C83">
              <w:rPr>
                <w:rFonts w:asciiTheme="minorHAnsi" w:hAnsiTheme="minorHAnsi" w:cstheme="minorHAnsi"/>
                <w:sz w:val="22"/>
                <w:szCs w:val="22"/>
                <w:lang w:eastAsia="en-US"/>
              </w:rPr>
              <w:t xml:space="preserve"> </w:t>
            </w:r>
            <w:r w:rsidRPr="00FA2C83">
              <w:rPr>
                <w:rFonts w:ascii="Calibri" w:hAnsi="Calibri" w:cs="Calibri"/>
                <w:color w:val="000000" w:themeColor="text1"/>
                <w:sz w:val="22"/>
                <w:szCs w:val="22"/>
              </w:rPr>
              <w:t>hlezenní cívka min 6 kanálů</w:t>
            </w:r>
          </w:p>
        </w:tc>
        <w:tc>
          <w:tcPr>
            <w:tcW w:w="1560" w:type="dxa"/>
            <w:shd w:val="clear" w:color="auto" w:fill="auto"/>
            <w:vAlign w:val="center"/>
          </w:tcPr>
          <w:p w14:paraId="4981A381" w14:textId="361B1763"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vAlign w:val="center"/>
          </w:tcPr>
          <w:p w14:paraId="0D6A7810" w14:textId="1364A354"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27B42A44" w14:textId="77777777" w:rsidTr="00D46083">
        <w:trPr>
          <w:cantSplit/>
        </w:trPr>
        <w:tc>
          <w:tcPr>
            <w:tcW w:w="5103" w:type="dxa"/>
            <w:shd w:val="clear" w:color="auto" w:fill="auto"/>
            <w:vAlign w:val="center"/>
          </w:tcPr>
          <w:p w14:paraId="0FF8FA67" w14:textId="2BCEFA50" w:rsidR="00B4069C" w:rsidRPr="00FA2C83" w:rsidRDefault="00D32A09" w:rsidP="00D32A09">
            <w:pPr>
              <w:pStyle w:val="Normlnweb"/>
              <w:spacing w:after="120"/>
              <w:rPr>
                <w:rFonts w:ascii="Calibri" w:hAnsi="Calibri" w:cs="Calibri"/>
                <w:bCs/>
                <w:sz w:val="22"/>
                <w:szCs w:val="22"/>
              </w:rPr>
            </w:pPr>
            <w:r w:rsidRPr="00FA2C83">
              <w:rPr>
                <w:rFonts w:ascii="Calibri" w:hAnsi="Calibri" w:cs="Calibri"/>
                <w:color w:val="000000" w:themeColor="text1"/>
                <w:sz w:val="22"/>
                <w:szCs w:val="22"/>
              </w:rPr>
              <w:t>1 ks dedikovaná ramenní cívka min 6 kanálů</w:t>
            </w:r>
          </w:p>
        </w:tc>
        <w:tc>
          <w:tcPr>
            <w:tcW w:w="1560" w:type="dxa"/>
            <w:shd w:val="clear" w:color="auto" w:fill="auto"/>
            <w:vAlign w:val="center"/>
          </w:tcPr>
          <w:p w14:paraId="5DAB090C" w14:textId="485CF9DF"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vAlign w:val="center"/>
          </w:tcPr>
          <w:p w14:paraId="05870414" w14:textId="16DA93CD"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0CE3E7EF" w14:textId="77777777" w:rsidTr="00D46083">
        <w:trPr>
          <w:cantSplit/>
        </w:trPr>
        <w:tc>
          <w:tcPr>
            <w:tcW w:w="5103" w:type="dxa"/>
            <w:shd w:val="clear" w:color="auto" w:fill="auto"/>
            <w:vAlign w:val="center"/>
          </w:tcPr>
          <w:p w14:paraId="2757409C" w14:textId="3B88B77F" w:rsidR="00B4069C" w:rsidRPr="00FA2C83" w:rsidRDefault="00D32A09" w:rsidP="00D32A09">
            <w:pPr>
              <w:pStyle w:val="Normlnweb"/>
              <w:spacing w:after="120"/>
              <w:rPr>
                <w:rFonts w:ascii="Calibri" w:hAnsi="Calibri" w:cs="Calibri"/>
                <w:bCs/>
                <w:sz w:val="22"/>
                <w:szCs w:val="22"/>
              </w:rPr>
            </w:pPr>
            <w:r w:rsidRPr="00FA2C83">
              <w:rPr>
                <w:rFonts w:ascii="Calibri" w:hAnsi="Calibri" w:cs="Calibri"/>
                <w:color w:val="000000" w:themeColor="text1"/>
                <w:sz w:val="22"/>
                <w:szCs w:val="22"/>
              </w:rPr>
              <w:t>1 ks dedikovaná pevná zápěstní cívka min 6 kanálů</w:t>
            </w:r>
          </w:p>
        </w:tc>
        <w:tc>
          <w:tcPr>
            <w:tcW w:w="1560" w:type="dxa"/>
            <w:shd w:val="clear" w:color="auto" w:fill="auto"/>
            <w:vAlign w:val="center"/>
          </w:tcPr>
          <w:p w14:paraId="595679AF" w14:textId="31EAAFBD"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vAlign w:val="center"/>
          </w:tcPr>
          <w:p w14:paraId="658726AF" w14:textId="5A64E17C"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442E2730" w14:textId="77777777" w:rsidTr="00FA2C83">
        <w:trPr>
          <w:cantSplit/>
        </w:trPr>
        <w:tc>
          <w:tcPr>
            <w:tcW w:w="5103" w:type="dxa"/>
            <w:shd w:val="clear" w:color="auto" w:fill="auto"/>
          </w:tcPr>
          <w:p w14:paraId="2D5C8C5E" w14:textId="7A925CDC" w:rsidR="00B4069C" w:rsidRPr="00FA2C83" w:rsidRDefault="00D32A09" w:rsidP="00D32A09">
            <w:pPr>
              <w:pStyle w:val="Normlnweb"/>
              <w:spacing w:after="120"/>
              <w:rPr>
                <w:rFonts w:ascii="Calibri" w:hAnsi="Calibri" w:cs="Calibri"/>
                <w:b/>
                <w:bCs/>
                <w:color w:val="000000" w:themeColor="text1"/>
                <w:sz w:val="22"/>
                <w:szCs w:val="22"/>
              </w:rPr>
            </w:pPr>
            <w:r w:rsidRPr="00FA2C83">
              <w:rPr>
                <w:rFonts w:ascii="Calibri" w:hAnsi="Calibri" w:cs="Calibri"/>
                <w:color w:val="000000" w:themeColor="text1"/>
                <w:sz w:val="22"/>
                <w:szCs w:val="22"/>
              </w:rPr>
              <w:t>1 ks RF cívky pro vyšetření paže a lokte, přípustné je řešení s flexibilní i dedikovanou pevnou cívkou, v obou případech s alespoň 16 přijímacími kanály</w:t>
            </w:r>
          </w:p>
        </w:tc>
        <w:tc>
          <w:tcPr>
            <w:tcW w:w="1560" w:type="dxa"/>
            <w:shd w:val="clear" w:color="auto" w:fill="auto"/>
            <w:vAlign w:val="center"/>
          </w:tcPr>
          <w:p w14:paraId="5281AB51" w14:textId="5F428D28"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vAlign w:val="center"/>
          </w:tcPr>
          <w:p w14:paraId="539632F8" w14:textId="172E11F9" w:rsidR="00B4069C" w:rsidRPr="00A04FF7" w:rsidRDefault="00B4069C"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33EABB1A" w14:textId="77777777" w:rsidTr="00FA2C83">
        <w:trPr>
          <w:cantSplit/>
        </w:trPr>
        <w:tc>
          <w:tcPr>
            <w:tcW w:w="5103" w:type="dxa"/>
            <w:shd w:val="clear" w:color="auto" w:fill="auto"/>
          </w:tcPr>
          <w:p w14:paraId="39D9A0E8" w14:textId="04B0A5C5" w:rsidR="00B4069C" w:rsidRPr="00FA2C83" w:rsidRDefault="00D32A09" w:rsidP="00D32A09">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Držák flexibilních cívek, tak, aby bylo možné jejich použití u vyšetření kolenních kloubů větších rozměrů anebo také použití jako dětské tělové cívky, lze nahradit jiným způsobem fixace těchto cívek k těmto účelům</w:t>
            </w:r>
          </w:p>
        </w:tc>
        <w:tc>
          <w:tcPr>
            <w:tcW w:w="1560" w:type="dxa"/>
            <w:shd w:val="clear" w:color="auto" w:fill="auto"/>
            <w:vAlign w:val="center"/>
          </w:tcPr>
          <w:p w14:paraId="6CFEA4F1" w14:textId="56F294CF" w:rsidR="00B4069C" w:rsidRPr="00A04FF7" w:rsidRDefault="00D32A09" w:rsidP="00B4069C">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vAlign w:val="center"/>
          </w:tcPr>
          <w:p w14:paraId="000AA864" w14:textId="33439B3F" w:rsidR="00B4069C" w:rsidRPr="00A04FF7" w:rsidRDefault="00D32A09" w:rsidP="00B4069C">
            <w:pPr>
              <w:jc w:val="center"/>
              <w:rPr>
                <w:rFonts w:ascii="Calibri" w:hAnsi="Calibri" w:cs="Calibri"/>
                <w:color w:val="FF0000"/>
                <w:szCs w:val="20"/>
              </w:rPr>
            </w:pPr>
            <w:r w:rsidRPr="00A870A6">
              <w:rPr>
                <w:rFonts w:ascii="Calibri" w:hAnsi="Calibri" w:cs="Calibri"/>
                <w:color w:val="FF0000"/>
                <w:szCs w:val="20"/>
              </w:rPr>
              <w:t>(doplní dodavatel)</w:t>
            </w:r>
          </w:p>
        </w:tc>
      </w:tr>
      <w:tr w:rsidR="00B4069C" w14:paraId="7274B553" w14:textId="77777777" w:rsidTr="00FA2C83">
        <w:trPr>
          <w:cantSplit/>
        </w:trPr>
        <w:tc>
          <w:tcPr>
            <w:tcW w:w="5103" w:type="dxa"/>
            <w:shd w:val="clear" w:color="auto" w:fill="auto"/>
          </w:tcPr>
          <w:p w14:paraId="450055A3" w14:textId="0E6E634D" w:rsidR="00B4069C" w:rsidRPr="00FA2C83" w:rsidRDefault="00D32A09" w:rsidP="00D32A09">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lastRenderedPageBreak/>
              <w:t>1 ks tělové cívky min 16 kanálů k pokrytí rozsahu min. 100 cm, případně možno dodat více cívek, aby bylo dosaženo tohoto pokrytí, pro vyšetření břišních orgánů, malé pánve a případně pro vyšetření periferních tepen dolních končetin (nebude akceptováno řešení pouze pomocí cívek integrovaných ve stole).</w:t>
            </w:r>
          </w:p>
        </w:tc>
        <w:tc>
          <w:tcPr>
            <w:tcW w:w="1560" w:type="dxa"/>
            <w:shd w:val="clear" w:color="auto" w:fill="auto"/>
            <w:vAlign w:val="center"/>
          </w:tcPr>
          <w:p w14:paraId="38E21AB8" w14:textId="691C205D"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5527C9C7" w14:textId="56C4CEBB"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570F4215" w14:textId="77777777" w:rsidTr="00FA2C83">
        <w:trPr>
          <w:cantSplit/>
        </w:trPr>
        <w:tc>
          <w:tcPr>
            <w:tcW w:w="5103" w:type="dxa"/>
            <w:shd w:val="clear" w:color="auto" w:fill="auto"/>
          </w:tcPr>
          <w:p w14:paraId="1A4DE918" w14:textId="1DD622A1" w:rsidR="00B4069C" w:rsidRPr="00FA2C83" w:rsidRDefault="00D32A09" w:rsidP="00D32A09">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1 ks periferní končetinové resp. cívky pro pokrytí dolních končetin – může být nahrazena   další tělovou cívkou.   Celkově musí být dosaženo celotělové pokrytí (spolu s hlavovou cívkou) min 200 cm.   Pro celotělové AG vyšetření nebo pro celotělové DWI vyšetření (od hlavy po dolní končetiny včetně bez repozice cívek či repozice pacienta)</w:t>
            </w:r>
          </w:p>
        </w:tc>
        <w:tc>
          <w:tcPr>
            <w:tcW w:w="1560" w:type="dxa"/>
            <w:shd w:val="clear" w:color="auto" w:fill="auto"/>
            <w:vAlign w:val="center"/>
          </w:tcPr>
          <w:p w14:paraId="39F41011" w14:textId="692E1C80"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6319278D" w14:textId="29084C35"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0D7A8F50" w14:textId="77777777" w:rsidTr="00FA2C83">
        <w:trPr>
          <w:cantSplit/>
        </w:trPr>
        <w:tc>
          <w:tcPr>
            <w:tcW w:w="5103" w:type="dxa"/>
            <w:shd w:val="clear" w:color="auto" w:fill="auto"/>
          </w:tcPr>
          <w:p w14:paraId="785246FD" w14:textId="3AFB3622" w:rsidR="00B4069C" w:rsidRPr="00FA2C83" w:rsidRDefault="00D32A09" w:rsidP="00D32A09">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1 ks dedikované prsní cívky pro vyšetření obou prsou zároveň v leže na břiše min 7 kanálů </w:t>
            </w:r>
          </w:p>
        </w:tc>
        <w:tc>
          <w:tcPr>
            <w:tcW w:w="1560" w:type="dxa"/>
            <w:shd w:val="clear" w:color="auto" w:fill="auto"/>
            <w:vAlign w:val="center"/>
          </w:tcPr>
          <w:p w14:paraId="077A61E5" w14:textId="5024956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7D0A415D" w14:textId="26858650"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D32A09" w14:paraId="6DF1BBED" w14:textId="77777777" w:rsidTr="00FA2C83">
        <w:trPr>
          <w:cantSplit/>
        </w:trPr>
        <w:tc>
          <w:tcPr>
            <w:tcW w:w="5103" w:type="dxa"/>
            <w:shd w:val="clear" w:color="auto" w:fill="auto"/>
          </w:tcPr>
          <w:p w14:paraId="6B6C40B9" w14:textId="7FB33629" w:rsidR="00D32A09" w:rsidRPr="00FA2C83" w:rsidRDefault="00D32A09" w:rsidP="00D32A09">
            <w:pPr>
              <w:pStyle w:val="Normlnweb"/>
              <w:spacing w:after="120"/>
              <w:rPr>
                <w:rFonts w:ascii="Calibri" w:hAnsi="Calibri" w:cs="Calibri"/>
                <w:color w:val="000000" w:themeColor="text1"/>
                <w:sz w:val="22"/>
                <w:szCs w:val="22"/>
              </w:rPr>
            </w:pPr>
            <w:r w:rsidRPr="00FA2C83">
              <w:rPr>
                <w:rFonts w:ascii="Calibri" w:hAnsi="Calibri" w:cs="Calibri"/>
                <w:b/>
                <w:bCs/>
                <w:color w:val="000000" w:themeColor="text1"/>
                <w:sz w:val="22"/>
                <w:szCs w:val="22"/>
              </w:rPr>
              <w:t xml:space="preserve">Požadovaná vyšetření </w:t>
            </w:r>
          </w:p>
        </w:tc>
        <w:tc>
          <w:tcPr>
            <w:tcW w:w="1560" w:type="dxa"/>
            <w:shd w:val="clear" w:color="auto" w:fill="auto"/>
            <w:vAlign w:val="center"/>
          </w:tcPr>
          <w:p w14:paraId="32FBE9D3" w14:textId="77777777" w:rsidR="00D32A09" w:rsidRPr="00FA2C83" w:rsidRDefault="00D32A09" w:rsidP="00B4069C">
            <w:pPr>
              <w:jc w:val="center"/>
              <w:rPr>
                <w:rFonts w:ascii="Calibri" w:hAnsi="Calibri" w:cs="Calibri"/>
                <w:color w:val="FF0000"/>
                <w:sz w:val="22"/>
                <w:szCs w:val="22"/>
              </w:rPr>
            </w:pPr>
          </w:p>
        </w:tc>
        <w:tc>
          <w:tcPr>
            <w:tcW w:w="2970" w:type="dxa"/>
            <w:shd w:val="clear" w:color="auto" w:fill="auto"/>
            <w:vAlign w:val="center"/>
          </w:tcPr>
          <w:p w14:paraId="05461DCC" w14:textId="77777777" w:rsidR="00D32A09" w:rsidRPr="00FA2C83" w:rsidRDefault="00D32A09" w:rsidP="00B4069C">
            <w:pPr>
              <w:jc w:val="center"/>
              <w:rPr>
                <w:rFonts w:ascii="Calibri" w:hAnsi="Calibri" w:cs="Calibri"/>
                <w:color w:val="FF0000"/>
                <w:sz w:val="22"/>
                <w:szCs w:val="22"/>
              </w:rPr>
            </w:pPr>
          </w:p>
        </w:tc>
      </w:tr>
      <w:tr w:rsidR="00B4069C" w14:paraId="5E83024E" w14:textId="77777777" w:rsidTr="00FA2C83">
        <w:trPr>
          <w:cantSplit/>
        </w:trPr>
        <w:tc>
          <w:tcPr>
            <w:tcW w:w="5103" w:type="dxa"/>
            <w:shd w:val="clear" w:color="auto" w:fill="auto"/>
          </w:tcPr>
          <w:p w14:paraId="0D4D6DEE" w14:textId="3DAF07A9" w:rsidR="00B4069C" w:rsidRPr="00FA2C83" w:rsidRDefault="00D32A09" w:rsidP="00D32A09">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vyšetření mozku (morfologie, difúze, </w:t>
            </w:r>
            <w:proofErr w:type="spellStart"/>
            <w:r w:rsidRPr="00FA2C83">
              <w:rPr>
                <w:rFonts w:ascii="Calibri" w:hAnsi="Calibri" w:cs="Calibri"/>
                <w:color w:val="000000" w:themeColor="text1"/>
                <w:sz w:val="22"/>
                <w:szCs w:val="22"/>
              </w:rPr>
              <w:t>perfúze</w:t>
            </w:r>
            <w:proofErr w:type="spellEnd"/>
            <w:r w:rsidRPr="00FA2C83">
              <w:rPr>
                <w:rFonts w:ascii="Calibri" w:hAnsi="Calibri" w:cs="Calibri"/>
                <w:color w:val="000000" w:themeColor="text1"/>
                <w:sz w:val="22"/>
                <w:szCs w:val="22"/>
              </w:rPr>
              <w:t xml:space="preserve">, angiografie, DTI, DTT), orbit a </w:t>
            </w:r>
            <w:proofErr w:type="spellStart"/>
            <w:r w:rsidRPr="00FA2C83">
              <w:rPr>
                <w:rFonts w:ascii="Calibri" w:hAnsi="Calibri" w:cs="Calibri"/>
                <w:color w:val="000000" w:themeColor="text1"/>
                <w:sz w:val="22"/>
                <w:szCs w:val="22"/>
              </w:rPr>
              <w:t>temporomandibulárních</w:t>
            </w:r>
            <w:proofErr w:type="spellEnd"/>
            <w:r w:rsidRPr="00FA2C83">
              <w:rPr>
                <w:rFonts w:ascii="Calibri" w:hAnsi="Calibri" w:cs="Calibri"/>
                <w:color w:val="000000" w:themeColor="text1"/>
                <w:sz w:val="22"/>
                <w:szCs w:val="22"/>
              </w:rPr>
              <w:t xml:space="preserve"> kloubů</w:t>
            </w:r>
          </w:p>
        </w:tc>
        <w:tc>
          <w:tcPr>
            <w:tcW w:w="1560" w:type="dxa"/>
            <w:shd w:val="clear" w:color="auto" w:fill="auto"/>
            <w:vAlign w:val="center"/>
          </w:tcPr>
          <w:p w14:paraId="6E7EF390" w14:textId="6B7E6D5F"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1752CCAF" w14:textId="6C36CC32"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1E971B6B" w14:textId="77777777" w:rsidTr="00FA2C83">
        <w:trPr>
          <w:cantSplit/>
        </w:trPr>
        <w:tc>
          <w:tcPr>
            <w:tcW w:w="5103" w:type="dxa"/>
            <w:shd w:val="clear" w:color="auto" w:fill="auto"/>
          </w:tcPr>
          <w:p w14:paraId="5AC34358" w14:textId="0DF7DB50"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vyšetření jednotlivých úseků páteře s možností zobrazení celé páteře najednou složením obrazů z jednotlivých úseků, MR </w:t>
            </w:r>
            <w:proofErr w:type="spellStart"/>
            <w:r w:rsidRPr="00FA2C83">
              <w:rPr>
                <w:rFonts w:ascii="Calibri" w:hAnsi="Calibri" w:cs="Calibri"/>
                <w:color w:val="000000" w:themeColor="text1"/>
                <w:sz w:val="22"/>
                <w:szCs w:val="22"/>
              </w:rPr>
              <w:t>myelografie</w:t>
            </w:r>
            <w:proofErr w:type="spellEnd"/>
            <w:r w:rsidRPr="00FA2C83">
              <w:rPr>
                <w:rFonts w:ascii="Calibri" w:hAnsi="Calibri" w:cs="Calibri"/>
                <w:color w:val="000000" w:themeColor="text1"/>
                <w:sz w:val="22"/>
                <w:szCs w:val="22"/>
              </w:rPr>
              <w:t>, difúzní zobrazení míchy</w:t>
            </w:r>
          </w:p>
        </w:tc>
        <w:tc>
          <w:tcPr>
            <w:tcW w:w="1560" w:type="dxa"/>
            <w:shd w:val="clear" w:color="auto" w:fill="auto"/>
            <w:vAlign w:val="center"/>
          </w:tcPr>
          <w:p w14:paraId="0FFB617C" w14:textId="1A701F91"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9D795B5" w14:textId="5A77C47B"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06F64A59" w14:textId="77777777" w:rsidTr="00D46083">
        <w:trPr>
          <w:cantSplit/>
        </w:trPr>
        <w:tc>
          <w:tcPr>
            <w:tcW w:w="5103" w:type="dxa"/>
            <w:shd w:val="clear" w:color="auto" w:fill="auto"/>
            <w:vAlign w:val="center"/>
          </w:tcPr>
          <w:p w14:paraId="0AC5AC7C" w14:textId="39D7E512"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vyšetření krku</w:t>
            </w:r>
          </w:p>
        </w:tc>
        <w:tc>
          <w:tcPr>
            <w:tcW w:w="1560" w:type="dxa"/>
            <w:shd w:val="clear" w:color="auto" w:fill="auto"/>
            <w:vAlign w:val="center"/>
          </w:tcPr>
          <w:p w14:paraId="5C76D8E7" w14:textId="3BD96654"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566BF72D" w14:textId="5216EC86"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649E2F97" w14:textId="77777777" w:rsidTr="00FA2C83">
        <w:trPr>
          <w:cantSplit/>
        </w:trPr>
        <w:tc>
          <w:tcPr>
            <w:tcW w:w="5103" w:type="dxa"/>
            <w:shd w:val="clear" w:color="auto" w:fill="auto"/>
          </w:tcPr>
          <w:p w14:paraId="20145D8A" w14:textId="789570FF"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vyšetření srdce (morfologie, kinetika, </w:t>
            </w:r>
            <w:proofErr w:type="spellStart"/>
            <w:r w:rsidRPr="00FA2C83">
              <w:rPr>
                <w:rFonts w:ascii="Calibri" w:hAnsi="Calibri" w:cs="Calibri"/>
                <w:color w:val="000000" w:themeColor="text1"/>
                <w:sz w:val="22"/>
                <w:szCs w:val="22"/>
              </w:rPr>
              <w:t>perfúze</w:t>
            </w:r>
            <w:proofErr w:type="spellEnd"/>
            <w:r w:rsidRPr="00FA2C83">
              <w:rPr>
                <w:rFonts w:ascii="Calibri" w:hAnsi="Calibri" w:cs="Calibri"/>
                <w:color w:val="000000" w:themeColor="text1"/>
                <w:sz w:val="22"/>
                <w:szCs w:val="22"/>
              </w:rPr>
              <w:t xml:space="preserve">, průtok, 3D pozdní </w:t>
            </w:r>
            <w:proofErr w:type="spellStart"/>
            <w:r w:rsidRPr="00FA2C83">
              <w:rPr>
                <w:rFonts w:ascii="Calibri" w:hAnsi="Calibri" w:cs="Calibri"/>
                <w:color w:val="000000" w:themeColor="text1"/>
                <w:sz w:val="22"/>
                <w:szCs w:val="22"/>
              </w:rPr>
              <w:t>enhancement</w:t>
            </w:r>
            <w:proofErr w:type="spellEnd"/>
            <w:r w:rsidRPr="00FA2C83">
              <w:rPr>
                <w:rFonts w:ascii="Calibri" w:hAnsi="Calibri" w:cs="Calibri"/>
                <w:color w:val="000000" w:themeColor="text1"/>
                <w:sz w:val="22"/>
                <w:szCs w:val="22"/>
              </w:rPr>
              <w:t>, MOLLI)</w:t>
            </w:r>
          </w:p>
        </w:tc>
        <w:tc>
          <w:tcPr>
            <w:tcW w:w="1560" w:type="dxa"/>
            <w:shd w:val="clear" w:color="auto" w:fill="auto"/>
            <w:vAlign w:val="center"/>
          </w:tcPr>
          <w:p w14:paraId="4855473B" w14:textId="73AEB717" w:rsidR="00B4069C" w:rsidRPr="00FA2C83" w:rsidRDefault="00D32A09"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0A9A82F2" w14:textId="10B2E432" w:rsidR="00B4069C" w:rsidRPr="00FA2C83" w:rsidRDefault="00D32A09"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0B95B960" w14:textId="77777777" w:rsidTr="00FA2C83">
        <w:trPr>
          <w:cantSplit/>
        </w:trPr>
        <w:tc>
          <w:tcPr>
            <w:tcW w:w="5103" w:type="dxa"/>
            <w:shd w:val="clear" w:color="auto" w:fill="auto"/>
          </w:tcPr>
          <w:p w14:paraId="353EC987" w14:textId="581FCEBB"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vyšetření prsů včetně DWI a dynamického </w:t>
            </w:r>
            <w:proofErr w:type="spellStart"/>
            <w:r w:rsidRPr="00FA2C83">
              <w:rPr>
                <w:rFonts w:ascii="Calibri" w:hAnsi="Calibri" w:cs="Calibri"/>
                <w:color w:val="000000" w:themeColor="text1"/>
                <w:sz w:val="22"/>
                <w:szCs w:val="22"/>
              </w:rPr>
              <w:t>postkontrastního</w:t>
            </w:r>
            <w:proofErr w:type="spellEnd"/>
            <w:r w:rsidRPr="00FA2C83">
              <w:rPr>
                <w:rFonts w:ascii="Calibri" w:hAnsi="Calibri" w:cs="Calibri"/>
                <w:color w:val="000000" w:themeColor="text1"/>
                <w:sz w:val="22"/>
                <w:szCs w:val="22"/>
              </w:rPr>
              <w:t xml:space="preserve"> vyšetření</w:t>
            </w:r>
          </w:p>
        </w:tc>
        <w:tc>
          <w:tcPr>
            <w:tcW w:w="1560" w:type="dxa"/>
            <w:shd w:val="clear" w:color="auto" w:fill="auto"/>
            <w:vAlign w:val="center"/>
          </w:tcPr>
          <w:p w14:paraId="44C60966" w14:textId="4FA7155F"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7C636139" w14:textId="4E5E79B6"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20A8DC88" w14:textId="77777777" w:rsidTr="00D46083">
        <w:trPr>
          <w:cantSplit/>
        </w:trPr>
        <w:tc>
          <w:tcPr>
            <w:tcW w:w="5103" w:type="dxa"/>
            <w:shd w:val="clear" w:color="auto" w:fill="auto"/>
            <w:vAlign w:val="center"/>
          </w:tcPr>
          <w:p w14:paraId="6E546AD0" w14:textId="7AD48B07"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vyšetření orgánů dutiny břišní včetně DWI</w:t>
            </w:r>
          </w:p>
        </w:tc>
        <w:tc>
          <w:tcPr>
            <w:tcW w:w="1560" w:type="dxa"/>
            <w:shd w:val="clear" w:color="auto" w:fill="auto"/>
            <w:vAlign w:val="center"/>
          </w:tcPr>
          <w:p w14:paraId="379291BE" w14:textId="57EBBBD8"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0CEDFA52" w14:textId="1970194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05FACB46" w14:textId="77777777" w:rsidTr="00D46083">
        <w:trPr>
          <w:cantSplit/>
        </w:trPr>
        <w:tc>
          <w:tcPr>
            <w:tcW w:w="5103" w:type="dxa"/>
            <w:shd w:val="clear" w:color="auto" w:fill="auto"/>
            <w:vAlign w:val="center"/>
          </w:tcPr>
          <w:p w14:paraId="1873A935" w14:textId="6F66ACFF" w:rsidR="00B4069C" w:rsidRPr="00FA2C83" w:rsidRDefault="00B942E7" w:rsidP="00B942E7">
            <w:pPr>
              <w:pStyle w:val="Normlnweb"/>
              <w:spacing w:after="120"/>
              <w:rPr>
                <w:rFonts w:ascii="Calibri" w:hAnsi="Calibri" w:cs="Calibri"/>
                <w:color w:val="000000" w:themeColor="text1"/>
                <w:sz w:val="22"/>
                <w:szCs w:val="22"/>
              </w:rPr>
            </w:pPr>
            <w:proofErr w:type="spellStart"/>
            <w:r w:rsidRPr="00FA2C83">
              <w:rPr>
                <w:rFonts w:ascii="Calibri" w:hAnsi="Calibri" w:cs="Calibri"/>
                <w:color w:val="000000" w:themeColor="text1"/>
                <w:sz w:val="22"/>
                <w:szCs w:val="22"/>
              </w:rPr>
              <w:t>multiparametrické</w:t>
            </w:r>
            <w:proofErr w:type="spellEnd"/>
            <w:r w:rsidRPr="00FA2C83">
              <w:rPr>
                <w:rFonts w:ascii="Calibri" w:hAnsi="Calibri" w:cs="Calibri"/>
                <w:color w:val="000000" w:themeColor="text1"/>
                <w:sz w:val="22"/>
                <w:szCs w:val="22"/>
              </w:rPr>
              <w:t xml:space="preserve"> vyšetření prostaty splňující podmínky směrnice PI-RADS v2.1. Evropské společnosti pro urogenitální radiologii</w:t>
            </w:r>
          </w:p>
        </w:tc>
        <w:tc>
          <w:tcPr>
            <w:tcW w:w="1560" w:type="dxa"/>
            <w:shd w:val="clear" w:color="auto" w:fill="auto"/>
            <w:vAlign w:val="center"/>
          </w:tcPr>
          <w:p w14:paraId="282F1D36" w14:textId="0992419C"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2807AFB" w14:textId="7C87852C"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0C0C1798" w14:textId="77777777" w:rsidTr="00D46083">
        <w:trPr>
          <w:cantSplit/>
        </w:trPr>
        <w:tc>
          <w:tcPr>
            <w:tcW w:w="5103" w:type="dxa"/>
            <w:shd w:val="clear" w:color="auto" w:fill="auto"/>
            <w:vAlign w:val="center"/>
          </w:tcPr>
          <w:p w14:paraId="71C714A9" w14:textId="4CAA6D5E"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MRCP – 2D i 3D včetně možnosti použití </w:t>
            </w:r>
            <w:proofErr w:type="spellStart"/>
            <w:r w:rsidRPr="00FA2C83">
              <w:rPr>
                <w:rFonts w:ascii="Calibri" w:hAnsi="Calibri" w:cs="Calibri"/>
                <w:color w:val="000000" w:themeColor="text1"/>
                <w:sz w:val="22"/>
                <w:szCs w:val="22"/>
              </w:rPr>
              <w:t>navigátorového</w:t>
            </w:r>
            <w:proofErr w:type="spellEnd"/>
            <w:r w:rsidRPr="00FA2C83">
              <w:rPr>
                <w:rFonts w:ascii="Calibri" w:hAnsi="Calibri" w:cs="Calibri"/>
                <w:color w:val="000000" w:themeColor="text1"/>
                <w:sz w:val="22"/>
                <w:szCs w:val="22"/>
              </w:rPr>
              <w:t xml:space="preserve"> echa</w:t>
            </w:r>
          </w:p>
        </w:tc>
        <w:tc>
          <w:tcPr>
            <w:tcW w:w="1560" w:type="dxa"/>
            <w:shd w:val="clear" w:color="auto" w:fill="auto"/>
            <w:vAlign w:val="center"/>
          </w:tcPr>
          <w:p w14:paraId="7D707A5F" w14:textId="4AEBC5FA"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5F138CC4" w14:textId="760CDFE5"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256D8E" w14:paraId="2A300632" w14:textId="77777777" w:rsidTr="00D46083">
        <w:trPr>
          <w:cantSplit/>
        </w:trPr>
        <w:tc>
          <w:tcPr>
            <w:tcW w:w="5103" w:type="dxa"/>
            <w:shd w:val="clear" w:color="auto" w:fill="auto"/>
            <w:vAlign w:val="center"/>
          </w:tcPr>
          <w:p w14:paraId="4993D59E" w14:textId="72CEEB00" w:rsidR="00256D8E"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MR </w:t>
            </w:r>
            <w:proofErr w:type="spellStart"/>
            <w:r w:rsidRPr="00FA2C83">
              <w:rPr>
                <w:rFonts w:ascii="Calibri" w:hAnsi="Calibri" w:cs="Calibri"/>
                <w:color w:val="000000" w:themeColor="text1"/>
                <w:sz w:val="22"/>
                <w:szCs w:val="22"/>
              </w:rPr>
              <w:t>enterografie</w:t>
            </w:r>
            <w:proofErr w:type="spellEnd"/>
          </w:p>
        </w:tc>
        <w:tc>
          <w:tcPr>
            <w:tcW w:w="1560" w:type="dxa"/>
            <w:shd w:val="clear" w:color="auto" w:fill="auto"/>
            <w:vAlign w:val="center"/>
          </w:tcPr>
          <w:p w14:paraId="4776EC0F" w14:textId="6903834A" w:rsidR="00256D8E" w:rsidRPr="00FA2C83" w:rsidRDefault="00256D8E" w:rsidP="00256D8E">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84AD73D" w14:textId="46D0AF35" w:rsidR="00256D8E" w:rsidRPr="00FA2C83" w:rsidRDefault="00256D8E" w:rsidP="00256D8E">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0A4F4842" w14:textId="77777777" w:rsidTr="00FA2C83">
        <w:trPr>
          <w:cantSplit/>
        </w:trPr>
        <w:tc>
          <w:tcPr>
            <w:tcW w:w="5103" w:type="dxa"/>
            <w:shd w:val="clear" w:color="auto" w:fill="auto"/>
          </w:tcPr>
          <w:p w14:paraId="454F64F8" w14:textId="176B2BDE"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vyšetření v rozsahu celého muskuloskeletálního systému</w:t>
            </w:r>
          </w:p>
        </w:tc>
        <w:tc>
          <w:tcPr>
            <w:tcW w:w="1560" w:type="dxa"/>
            <w:shd w:val="clear" w:color="auto" w:fill="auto"/>
            <w:vAlign w:val="center"/>
          </w:tcPr>
          <w:p w14:paraId="11E147AD" w14:textId="5801002D"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0A877990" w14:textId="59A7BCFC"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678834C9" w14:textId="77777777" w:rsidTr="00FA2C83">
        <w:trPr>
          <w:cantSplit/>
        </w:trPr>
        <w:tc>
          <w:tcPr>
            <w:tcW w:w="5103" w:type="dxa"/>
            <w:shd w:val="clear" w:color="auto" w:fill="auto"/>
          </w:tcPr>
          <w:p w14:paraId="534C74B2" w14:textId="50619DEE"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celotělové MRI bez nutnosti změny polohy cívek včetně DWI</w:t>
            </w:r>
          </w:p>
        </w:tc>
        <w:tc>
          <w:tcPr>
            <w:tcW w:w="1560" w:type="dxa"/>
            <w:shd w:val="clear" w:color="auto" w:fill="auto"/>
            <w:vAlign w:val="center"/>
          </w:tcPr>
          <w:p w14:paraId="3725AD80" w14:textId="397090B2"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3B7DE35D" w14:textId="1309F6CD"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1373E9FE" w14:textId="77777777" w:rsidTr="00FA2C83">
        <w:trPr>
          <w:cantSplit/>
        </w:trPr>
        <w:tc>
          <w:tcPr>
            <w:tcW w:w="5103" w:type="dxa"/>
            <w:shd w:val="clear" w:color="auto" w:fill="auto"/>
          </w:tcPr>
          <w:p w14:paraId="438CC62D" w14:textId="6AA3620E"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MR angiografie v rozsahu celého těla včetně nekontrastních MRA renálních a periferních tepen, koronárních tepen</w:t>
            </w:r>
          </w:p>
        </w:tc>
        <w:tc>
          <w:tcPr>
            <w:tcW w:w="1560" w:type="dxa"/>
            <w:shd w:val="clear" w:color="auto" w:fill="auto"/>
            <w:vAlign w:val="center"/>
          </w:tcPr>
          <w:p w14:paraId="0A9B8ECF" w14:textId="2E6BC80B"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0CC2423E" w14:textId="004DD57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24B4490B" w14:textId="77777777" w:rsidTr="00D46083">
        <w:trPr>
          <w:cantSplit/>
        </w:trPr>
        <w:tc>
          <w:tcPr>
            <w:tcW w:w="5103" w:type="dxa"/>
            <w:shd w:val="clear" w:color="auto" w:fill="auto"/>
            <w:vAlign w:val="center"/>
          </w:tcPr>
          <w:p w14:paraId="0542152C" w14:textId="6C4A7BD1" w:rsidR="00256D8E"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pediatrická vyšetření</w:t>
            </w:r>
          </w:p>
        </w:tc>
        <w:tc>
          <w:tcPr>
            <w:tcW w:w="1560" w:type="dxa"/>
            <w:shd w:val="clear" w:color="auto" w:fill="auto"/>
            <w:vAlign w:val="center"/>
          </w:tcPr>
          <w:p w14:paraId="5332EF88" w14:textId="77E61D7E"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c>
          <w:tcPr>
            <w:tcW w:w="2970" w:type="dxa"/>
            <w:shd w:val="clear" w:color="auto" w:fill="auto"/>
            <w:vAlign w:val="center"/>
          </w:tcPr>
          <w:p w14:paraId="641C173C" w14:textId="4503ED08" w:rsidR="00B4069C" w:rsidRPr="00FA2C83" w:rsidRDefault="00B4069C" w:rsidP="00B4069C">
            <w:pPr>
              <w:jc w:val="center"/>
              <w:rPr>
                <w:rFonts w:ascii="Calibri" w:hAnsi="Calibri" w:cs="Calibri"/>
                <w:color w:val="FF0000"/>
                <w:sz w:val="22"/>
                <w:szCs w:val="22"/>
              </w:rPr>
            </w:pPr>
            <w:r w:rsidRPr="00FA2C83">
              <w:rPr>
                <w:rFonts w:ascii="Calibri" w:hAnsi="Calibri" w:cs="Calibri"/>
                <w:color w:val="FF0000"/>
                <w:sz w:val="22"/>
                <w:szCs w:val="22"/>
              </w:rPr>
              <w:t>(doplní dodavatel)</w:t>
            </w:r>
          </w:p>
        </w:tc>
      </w:tr>
      <w:tr w:rsidR="00B4069C" w14:paraId="7EFF7ADF" w14:textId="77777777" w:rsidTr="00EB7AC5">
        <w:trPr>
          <w:cantSplit/>
        </w:trPr>
        <w:tc>
          <w:tcPr>
            <w:tcW w:w="5103" w:type="dxa"/>
            <w:shd w:val="clear" w:color="auto" w:fill="auto"/>
          </w:tcPr>
          <w:p w14:paraId="308F6A9E" w14:textId="7BB21A89"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b/>
                <w:bCs/>
                <w:color w:val="000000" w:themeColor="text1"/>
                <w:sz w:val="22"/>
                <w:szCs w:val="22"/>
              </w:rPr>
              <w:t>Sekvence</w:t>
            </w:r>
          </w:p>
        </w:tc>
        <w:tc>
          <w:tcPr>
            <w:tcW w:w="1560" w:type="dxa"/>
            <w:shd w:val="clear" w:color="auto" w:fill="auto"/>
          </w:tcPr>
          <w:p w14:paraId="08F9FF93" w14:textId="733EAE18" w:rsidR="00B4069C" w:rsidRPr="00FA2C83" w:rsidRDefault="00B4069C" w:rsidP="00B4069C">
            <w:pPr>
              <w:jc w:val="center"/>
              <w:rPr>
                <w:rFonts w:ascii="Calibri" w:hAnsi="Calibri" w:cs="Calibri"/>
                <w:color w:val="FF0000"/>
                <w:sz w:val="22"/>
                <w:szCs w:val="22"/>
              </w:rPr>
            </w:pPr>
          </w:p>
        </w:tc>
        <w:tc>
          <w:tcPr>
            <w:tcW w:w="2970" w:type="dxa"/>
            <w:shd w:val="clear" w:color="auto" w:fill="auto"/>
          </w:tcPr>
          <w:p w14:paraId="79CE6B83" w14:textId="7AB0FF4A" w:rsidR="00B4069C" w:rsidRPr="00FA2C83" w:rsidRDefault="00B4069C" w:rsidP="00B4069C">
            <w:pPr>
              <w:jc w:val="center"/>
              <w:rPr>
                <w:rFonts w:ascii="Calibri" w:hAnsi="Calibri" w:cs="Calibri"/>
                <w:color w:val="FF0000"/>
                <w:sz w:val="22"/>
                <w:szCs w:val="22"/>
              </w:rPr>
            </w:pPr>
          </w:p>
        </w:tc>
      </w:tr>
      <w:tr w:rsidR="00256D8E" w14:paraId="110C6B71" w14:textId="77777777" w:rsidTr="0069091A">
        <w:trPr>
          <w:cantSplit/>
        </w:trPr>
        <w:tc>
          <w:tcPr>
            <w:tcW w:w="5103" w:type="dxa"/>
            <w:shd w:val="clear" w:color="auto" w:fill="auto"/>
          </w:tcPr>
          <w:p w14:paraId="713D2B58" w14:textId="6091A352" w:rsidR="00256D8E" w:rsidRPr="00FA2C83" w:rsidRDefault="00B942E7" w:rsidP="00B942E7">
            <w:pPr>
              <w:pStyle w:val="Normlnweb"/>
              <w:spacing w:after="120"/>
              <w:rPr>
                <w:rFonts w:ascii="Calibri" w:hAnsi="Calibri" w:cs="Calibri"/>
                <w:b/>
                <w:bCs/>
                <w:color w:val="000000" w:themeColor="text1"/>
                <w:sz w:val="22"/>
                <w:szCs w:val="22"/>
              </w:rPr>
            </w:pPr>
            <w:r w:rsidRPr="00FA2C83">
              <w:rPr>
                <w:rFonts w:ascii="Calibri" w:hAnsi="Calibri" w:cs="Calibri"/>
                <w:color w:val="000000" w:themeColor="text1"/>
                <w:sz w:val="22"/>
                <w:szCs w:val="22"/>
              </w:rPr>
              <w:lastRenderedPageBreak/>
              <w:t xml:space="preserve">základní vyšetřovací sekvence: spin echo – single, double i </w:t>
            </w:r>
            <w:proofErr w:type="spellStart"/>
            <w:r w:rsidRPr="00FA2C83">
              <w:rPr>
                <w:rFonts w:ascii="Calibri" w:hAnsi="Calibri" w:cs="Calibri"/>
                <w:color w:val="000000" w:themeColor="text1"/>
                <w:sz w:val="22"/>
                <w:szCs w:val="22"/>
              </w:rPr>
              <w:t>multi</w:t>
            </w:r>
            <w:proofErr w:type="spellEnd"/>
            <w:r w:rsidRPr="00FA2C83">
              <w:rPr>
                <w:rFonts w:ascii="Calibri" w:hAnsi="Calibri" w:cs="Calibri"/>
                <w:color w:val="000000" w:themeColor="text1"/>
                <w:sz w:val="22"/>
                <w:szCs w:val="22"/>
              </w:rPr>
              <w:t xml:space="preserve"> echo, </w:t>
            </w:r>
            <w:proofErr w:type="spellStart"/>
            <w:r w:rsidRPr="00FA2C83">
              <w:rPr>
                <w:rFonts w:ascii="Calibri" w:hAnsi="Calibri" w:cs="Calibri"/>
                <w:color w:val="000000" w:themeColor="text1"/>
                <w:sz w:val="22"/>
                <w:szCs w:val="22"/>
              </w:rPr>
              <w:t>inversion</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recovery</w:t>
            </w:r>
            <w:proofErr w:type="spellEnd"/>
            <w:r w:rsidRPr="00FA2C83">
              <w:rPr>
                <w:rFonts w:ascii="Calibri" w:hAnsi="Calibri" w:cs="Calibri"/>
                <w:color w:val="000000" w:themeColor="text1"/>
                <w:sz w:val="22"/>
                <w:szCs w:val="22"/>
              </w:rPr>
              <w:t xml:space="preserve"> (STIR, FLAIR, </w:t>
            </w:r>
            <w:proofErr w:type="spellStart"/>
            <w:r w:rsidRPr="00FA2C83">
              <w:rPr>
                <w:rFonts w:ascii="Calibri" w:hAnsi="Calibri" w:cs="Calibri"/>
                <w:color w:val="000000" w:themeColor="text1"/>
                <w:sz w:val="22"/>
                <w:szCs w:val="22"/>
              </w:rPr>
              <w:t>true</w:t>
            </w:r>
            <w:proofErr w:type="spellEnd"/>
            <w:r w:rsidRPr="00FA2C83">
              <w:rPr>
                <w:rFonts w:ascii="Calibri" w:hAnsi="Calibri" w:cs="Calibri"/>
                <w:color w:val="000000" w:themeColor="text1"/>
                <w:sz w:val="22"/>
                <w:szCs w:val="22"/>
              </w:rPr>
              <w:t xml:space="preserve"> IR), 2D a 3D gradient echo, 2D a 3D fast spin echo včetně single shot, 2D a 3D fast </w:t>
            </w:r>
            <w:proofErr w:type="spellStart"/>
            <w:r w:rsidRPr="00FA2C83">
              <w:rPr>
                <w:rFonts w:ascii="Calibri" w:hAnsi="Calibri" w:cs="Calibri"/>
                <w:color w:val="000000" w:themeColor="text1"/>
                <w:sz w:val="22"/>
                <w:szCs w:val="22"/>
              </w:rPr>
              <w:t>inversion</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recovery</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true</w:t>
            </w:r>
            <w:proofErr w:type="spellEnd"/>
            <w:r w:rsidRPr="00FA2C83">
              <w:rPr>
                <w:rFonts w:ascii="Calibri" w:hAnsi="Calibri" w:cs="Calibri"/>
                <w:color w:val="000000" w:themeColor="text1"/>
                <w:sz w:val="22"/>
                <w:szCs w:val="22"/>
              </w:rPr>
              <w:t xml:space="preserve"> IR, FLAIR), 2D a 3D PSIF, 2D a 3D </w:t>
            </w:r>
            <w:proofErr w:type="spellStart"/>
            <w:r w:rsidRPr="00FA2C83">
              <w:rPr>
                <w:rFonts w:ascii="Calibri" w:hAnsi="Calibri" w:cs="Calibri"/>
                <w:color w:val="000000" w:themeColor="text1"/>
                <w:sz w:val="22"/>
                <w:szCs w:val="22"/>
              </w:rPr>
              <w:t>multi</w:t>
            </w:r>
            <w:proofErr w:type="spellEnd"/>
            <w:r w:rsidRPr="00FA2C83">
              <w:rPr>
                <w:rFonts w:ascii="Calibri" w:hAnsi="Calibri" w:cs="Calibri"/>
                <w:color w:val="000000" w:themeColor="text1"/>
                <w:sz w:val="22"/>
                <w:szCs w:val="22"/>
              </w:rPr>
              <w:t xml:space="preserve"> echo gradient echo, echo </w:t>
            </w:r>
            <w:proofErr w:type="spellStart"/>
            <w:r w:rsidRPr="00FA2C83">
              <w:rPr>
                <w:rFonts w:ascii="Calibri" w:hAnsi="Calibri" w:cs="Calibri"/>
                <w:color w:val="000000" w:themeColor="text1"/>
                <w:sz w:val="22"/>
                <w:szCs w:val="22"/>
              </w:rPr>
              <w:t>planar</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imaging</w:t>
            </w:r>
            <w:proofErr w:type="spellEnd"/>
            <w:r w:rsidRPr="00FA2C83">
              <w:rPr>
                <w:rFonts w:ascii="Calibri" w:hAnsi="Calibri" w:cs="Calibri"/>
                <w:color w:val="000000" w:themeColor="text1"/>
                <w:sz w:val="22"/>
                <w:szCs w:val="22"/>
              </w:rPr>
              <w:t xml:space="preserve"> (EPI)</w:t>
            </w:r>
          </w:p>
        </w:tc>
        <w:tc>
          <w:tcPr>
            <w:tcW w:w="1560" w:type="dxa"/>
            <w:shd w:val="clear" w:color="auto" w:fill="auto"/>
            <w:vAlign w:val="center"/>
          </w:tcPr>
          <w:p w14:paraId="52B4CFD8" w14:textId="33C213F8" w:rsidR="00256D8E" w:rsidRPr="0069091A" w:rsidRDefault="00256D8E" w:rsidP="00256D8E">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7D967B7D" w14:textId="3784D8A7" w:rsidR="00256D8E" w:rsidRPr="0069091A" w:rsidRDefault="00256D8E" w:rsidP="00256D8E">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38314DC0" w14:textId="77777777" w:rsidTr="0069091A">
        <w:trPr>
          <w:cantSplit/>
        </w:trPr>
        <w:tc>
          <w:tcPr>
            <w:tcW w:w="5103" w:type="dxa"/>
            <w:shd w:val="clear" w:color="auto" w:fill="auto"/>
          </w:tcPr>
          <w:p w14:paraId="12771708" w14:textId="77777777"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sekvence s redukcí pohybových artefaktů (JET, BLADE, </w:t>
            </w:r>
            <w:proofErr w:type="spellStart"/>
            <w:r w:rsidRPr="00FA2C83">
              <w:rPr>
                <w:rFonts w:ascii="Calibri" w:hAnsi="Calibri" w:cs="Calibri"/>
                <w:color w:val="000000" w:themeColor="text1"/>
                <w:sz w:val="22"/>
                <w:szCs w:val="22"/>
              </w:rPr>
              <w:t>Multi</w:t>
            </w:r>
            <w:proofErr w:type="spellEnd"/>
            <w:r w:rsidRPr="00FA2C83">
              <w:rPr>
                <w:rFonts w:ascii="Calibri" w:hAnsi="Calibri" w:cs="Calibri"/>
                <w:color w:val="000000" w:themeColor="text1"/>
                <w:sz w:val="22"/>
                <w:szCs w:val="22"/>
              </w:rPr>
              <w:t xml:space="preserve"> Vane, PROPELLER), využívající hybridní kartesiánský a radiální náběr dat k-prostoru. 3D rychlé sekvence kombinující radiální a kartesiánský náběr k-prostoru (</w:t>
            </w:r>
            <w:proofErr w:type="spellStart"/>
            <w:r w:rsidRPr="00FA2C83">
              <w:rPr>
                <w:rFonts w:ascii="Calibri" w:hAnsi="Calibri" w:cs="Calibri"/>
                <w:color w:val="000000" w:themeColor="text1"/>
                <w:sz w:val="22"/>
                <w:szCs w:val="22"/>
              </w:rPr>
              <w:t>QuickStar</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StarVIBE</w:t>
            </w:r>
            <w:proofErr w:type="spellEnd"/>
            <w:r w:rsidRPr="00FA2C83">
              <w:rPr>
                <w:rFonts w:ascii="Calibri" w:hAnsi="Calibri" w:cs="Calibri"/>
                <w:color w:val="000000" w:themeColor="text1"/>
                <w:sz w:val="22"/>
                <w:szCs w:val="22"/>
              </w:rPr>
              <w:t xml:space="preserve"> apod.) s možností využití paralelních akvizičních technik.</w:t>
            </w:r>
          </w:p>
          <w:p w14:paraId="33FE6557" w14:textId="7D1DFF6B" w:rsidR="00C02766" w:rsidRPr="00FA2C83" w:rsidRDefault="00C02766" w:rsidP="00B942E7">
            <w:pPr>
              <w:pStyle w:val="Normlnweb"/>
              <w:spacing w:after="120"/>
              <w:rPr>
                <w:rFonts w:ascii="Calibri" w:hAnsi="Calibri" w:cs="Calibri"/>
                <w:color w:val="000000" w:themeColor="text1"/>
                <w:sz w:val="20"/>
                <w:szCs w:val="20"/>
              </w:rPr>
            </w:pPr>
            <w:r w:rsidRPr="00FA2C83">
              <w:rPr>
                <w:rFonts w:ascii="Calibri" w:hAnsi="Calibri" w:cs="Calibri"/>
                <w:b/>
                <w:sz w:val="20"/>
                <w:szCs w:val="20"/>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FA2C83">
              <w:rPr>
                <w:rFonts w:ascii="Calibri" w:hAnsi="Calibri" w:cs="Calibri"/>
                <w:b/>
                <w:bCs/>
                <w:sz w:val="20"/>
                <w:szCs w:val="20"/>
              </w:rPr>
              <w:t>v souladu s § 89 odst. 6 zákona možné nabídnout i jiné, rovnocenné řešení</w:t>
            </w:r>
            <w:r w:rsidR="00FA2C83">
              <w:rPr>
                <w:rFonts w:ascii="Calibri" w:hAnsi="Calibri" w:cs="Calibri"/>
                <w:b/>
                <w:bCs/>
                <w:sz w:val="20"/>
                <w:szCs w:val="20"/>
              </w:rPr>
              <w:t>.</w:t>
            </w:r>
          </w:p>
        </w:tc>
        <w:tc>
          <w:tcPr>
            <w:tcW w:w="1560" w:type="dxa"/>
            <w:shd w:val="clear" w:color="auto" w:fill="auto"/>
            <w:vAlign w:val="center"/>
          </w:tcPr>
          <w:p w14:paraId="41828310" w14:textId="07BADBEC"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6EAC917" w14:textId="08E62440"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1F3D39D9" w14:textId="77777777" w:rsidTr="00D46083">
        <w:trPr>
          <w:cantSplit/>
        </w:trPr>
        <w:tc>
          <w:tcPr>
            <w:tcW w:w="5103" w:type="dxa"/>
            <w:shd w:val="clear" w:color="auto" w:fill="auto"/>
            <w:vAlign w:val="center"/>
          </w:tcPr>
          <w:p w14:paraId="18B3A00A" w14:textId="54BBAC03"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sekvence redukující artefakty z kovových implantát</w:t>
            </w:r>
          </w:p>
        </w:tc>
        <w:tc>
          <w:tcPr>
            <w:tcW w:w="1560" w:type="dxa"/>
            <w:shd w:val="clear" w:color="auto" w:fill="auto"/>
            <w:vAlign w:val="center"/>
          </w:tcPr>
          <w:p w14:paraId="3E0F573B" w14:textId="2693A322"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D9243BA" w14:textId="00095703"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256D8E" w14:paraId="378834A3" w14:textId="77777777" w:rsidTr="00D46083">
        <w:trPr>
          <w:cantSplit/>
        </w:trPr>
        <w:tc>
          <w:tcPr>
            <w:tcW w:w="5103" w:type="dxa"/>
            <w:shd w:val="clear" w:color="auto" w:fill="auto"/>
            <w:vAlign w:val="center"/>
          </w:tcPr>
          <w:p w14:paraId="39B712A0" w14:textId="0966EFD9" w:rsidR="00256D8E"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susceptibility </w:t>
            </w:r>
            <w:proofErr w:type="spellStart"/>
            <w:r w:rsidRPr="00FA2C83">
              <w:rPr>
                <w:rFonts w:ascii="Calibri" w:hAnsi="Calibri" w:cs="Calibri"/>
                <w:color w:val="000000" w:themeColor="text1"/>
                <w:sz w:val="22"/>
                <w:szCs w:val="22"/>
              </w:rPr>
              <w:t>weighted</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imaging</w:t>
            </w:r>
            <w:proofErr w:type="spellEnd"/>
            <w:r w:rsidRPr="00FA2C83">
              <w:rPr>
                <w:rFonts w:ascii="Calibri" w:hAnsi="Calibri" w:cs="Calibri"/>
                <w:color w:val="000000" w:themeColor="text1"/>
                <w:sz w:val="22"/>
                <w:szCs w:val="22"/>
              </w:rPr>
              <w:t xml:space="preserve"> (SWI)</w:t>
            </w:r>
          </w:p>
        </w:tc>
        <w:tc>
          <w:tcPr>
            <w:tcW w:w="1560" w:type="dxa"/>
            <w:shd w:val="clear" w:color="auto" w:fill="auto"/>
            <w:vAlign w:val="center"/>
          </w:tcPr>
          <w:p w14:paraId="3F525B58" w14:textId="7DBC22C7" w:rsidR="00256D8E" w:rsidRPr="0069091A" w:rsidRDefault="00256D8E" w:rsidP="00256D8E">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58702ED" w14:textId="358F283A" w:rsidR="00256D8E" w:rsidRPr="0069091A" w:rsidRDefault="00256D8E" w:rsidP="00256D8E">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636706A5" w14:textId="77777777" w:rsidTr="0069091A">
        <w:trPr>
          <w:cantSplit/>
        </w:trPr>
        <w:tc>
          <w:tcPr>
            <w:tcW w:w="5103" w:type="dxa"/>
            <w:shd w:val="clear" w:color="auto" w:fill="auto"/>
          </w:tcPr>
          <w:p w14:paraId="24202795" w14:textId="5AA70AB5"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kontrastní i nekontrastní MR angiografie (CE MRA, 2D i 3D TOF MRA, 2D i 3D PC MRA), a nové techniky nekontrastní MRA pro zobrazení renálních i periferních tepen (jako jsou vyjádřeny např. některými firemními názvy FSBB, FBI, </w:t>
            </w:r>
            <w:proofErr w:type="spellStart"/>
            <w:r w:rsidRPr="00FA2C83">
              <w:rPr>
                <w:rFonts w:ascii="Calibri" w:hAnsi="Calibri" w:cs="Calibri"/>
                <w:color w:val="000000" w:themeColor="text1"/>
                <w:sz w:val="22"/>
                <w:szCs w:val="22"/>
              </w:rPr>
              <w:t>Flow</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Spoiled</w:t>
            </w:r>
            <w:proofErr w:type="spellEnd"/>
            <w:r w:rsidRPr="00FA2C83">
              <w:rPr>
                <w:rFonts w:ascii="Calibri" w:hAnsi="Calibri" w:cs="Calibri"/>
                <w:color w:val="000000" w:themeColor="text1"/>
                <w:sz w:val="22"/>
                <w:szCs w:val="22"/>
              </w:rPr>
              <w:t xml:space="preserve"> FBI, </w:t>
            </w:r>
            <w:proofErr w:type="spellStart"/>
            <w:r w:rsidRPr="00FA2C83">
              <w:rPr>
                <w:rFonts w:ascii="Calibri" w:hAnsi="Calibri" w:cs="Calibri"/>
                <w:color w:val="000000" w:themeColor="text1"/>
                <w:sz w:val="22"/>
                <w:szCs w:val="22"/>
              </w:rPr>
              <w:t>Timer</w:t>
            </w:r>
            <w:proofErr w:type="spellEnd"/>
            <w:r w:rsidRPr="00FA2C83">
              <w:rPr>
                <w:rFonts w:ascii="Calibri" w:hAnsi="Calibri" w:cs="Calibri"/>
                <w:color w:val="000000" w:themeColor="text1"/>
                <w:sz w:val="22"/>
                <w:szCs w:val="22"/>
              </w:rPr>
              <w:t xml:space="preserve">-Slip, Time-Slip </w:t>
            </w:r>
            <w:proofErr w:type="spellStart"/>
            <w:r w:rsidRPr="00FA2C83">
              <w:rPr>
                <w:rFonts w:ascii="Calibri" w:hAnsi="Calibri" w:cs="Calibri"/>
                <w:color w:val="000000" w:themeColor="text1"/>
                <w:sz w:val="22"/>
                <w:szCs w:val="22"/>
              </w:rPr>
              <w:t>Complex</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Circulation</w:t>
            </w:r>
            <w:proofErr w:type="spellEnd"/>
            <w:r w:rsidRPr="00FA2C83">
              <w:rPr>
                <w:rFonts w:ascii="Calibri" w:hAnsi="Calibri" w:cs="Calibri"/>
                <w:color w:val="000000" w:themeColor="text1"/>
                <w:sz w:val="22"/>
                <w:szCs w:val="22"/>
              </w:rPr>
              <w:t xml:space="preserve"> ASL v kombinaci s 3D SSFP a FASE, 3D ASL </w:t>
            </w:r>
            <w:proofErr w:type="spellStart"/>
            <w:r w:rsidRPr="00FA2C83">
              <w:rPr>
                <w:rFonts w:ascii="Calibri" w:hAnsi="Calibri" w:cs="Calibri"/>
                <w:color w:val="000000" w:themeColor="text1"/>
                <w:sz w:val="22"/>
                <w:szCs w:val="22"/>
              </w:rPr>
              <w:t>Perfuze</w:t>
            </w:r>
            <w:proofErr w:type="spellEnd"/>
            <w:r w:rsidRPr="00FA2C83">
              <w:rPr>
                <w:rFonts w:ascii="Calibri" w:hAnsi="Calibri" w:cs="Calibri"/>
                <w:color w:val="000000" w:themeColor="text1"/>
                <w:sz w:val="22"/>
                <w:szCs w:val="22"/>
              </w:rPr>
              <w:t>, 3D ASL MRA).</w:t>
            </w:r>
          </w:p>
        </w:tc>
        <w:tc>
          <w:tcPr>
            <w:tcW w:w="1560" w:type="dxa"/>
            <w:shd w:val="clear" w:color="auto" w:fill="auto"/>
            <w:vAlign w:val="center"/>
          </w:tcPr>
          <w:p w14:paraId="009B43B1" w14:textId="2C14F235"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F80987E" w14:textId="26E801E5"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3097E10F" w14:textId="77777777" w:rsidTr="0069091A">
        <w:trPr>
          <w:cantSplit/>
        </w:trPr>
        <w:tc>
          <w:tcPr>
            <w:tcW w:w="5103" w:type="dxa"/>
            <w:shd w:val="clear" w:color="auto" w:fill="auto"/>
          </w:tcPr>
          <w:p w14:paraId="5E5CE40D" w14:textId="3DD1E9D5"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CSF FLOW (zobrazení toku </w:t>
            </w:r>
            <w:proofErr w:type="spellStart"/>
            <w:r w:rsidRPr="00FA2C83">
              <w:rPr>
                <w:rFonts w:ascii="Calibri" w:hAnsi="Calibri" w:cs="Calibri"/>
                <w:color w:val="000000" w:themeColor="text1"/>
                <w:sz w:val="22"/>
                <w:szCs w:val="22"/>
              </w:rPr>
              <w:t>likvoru</w:t>
            </w:r>
            <w:proofErr w:type="spellEnd"/>
            <w:r w:rsidRPr="00FA2C83">
              <w:rPr>
                <w:rFonts w:ascii="Calibri" w:hAnsi="Calibri" w:cs="Calibri"/>
                <w:color w:val="000000" w:themeColor="text1"/>
                <w:sz w:val="22"/>
                <w:szCs w:val="22"/>
              </w:rPr>
              <w:t xml:space="preserve"> pomocí např.: TIME SLIP techniky)</w:t>
            </w:r>
          </w:p>
        </w:tc>
        <w:tc>
          <w:tcPr>
            <w:tcW w:w="1560" w:type="dxa"/>
            <w:shd w:val="clear" w:color="auto" w:fill="auto"/>
            <w:vAlign w:val="center"/>
          </w:tcPr>
          <w:p w14:paraId="2CA5B877" w14:textId="3A9CA80E"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CA27CBA" w14:textId="2D9D7BBE"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52171261" w14:textId="77777777" w:rsidTr="0069091A">
        <w:trPr>
          <w:cantSplit/>
        </w:trPr>
        <w:tc>
          <w:tcPr>
            <w:tcW w:w="5103" w:type="dxa"/>
            <w:shd w:val="clear" w:color="auto" w:fill="auto"/>
          </w:tcPr>
          <w:p w14:paraId="018CA0B8" w14:textId="3F9D45FA"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dynamická kontrastní angiografie s vysokým časovým rozlišením</w:t>
            </w:r>
          </w:p>
        </w:tc>
        <w:tc>
          <w:tcPr>
            <w:tcW w:w="1560" w:type="dxa"/>
            <w:shd w:val="clear" w:color="auto" w:fill="auto"/>
            <w:vAlign w:val="center"/>
          </w:tcPr>
          <w:p w14:paraId="0AFE5FBB" w14:textId="37EF1F11"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BAB34D7" w14:textId="037BD85B"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6FE995EF" w14:textId="77777777" w:rsidTr="0069091A">
        <w:trPr>
          <w:cantSplit/>
        </w:trPr>
        <w:tc>
          <w:tcPr>
            <w:tcW w:w="5103" w:type="dxa"/>
            <w:shd w:val="clear" w:color="auto" w:fill="auto"/>
          </w:tcPr>
          <w:p w14:paraId="19955A9E" w14:textId="22DE50DE" w:rsidR="00B4069C" w:rsidRPr="00FA2C83" w:rsidRDefault="00B942E7" w:rsidP="00B942E7">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zobrazování difúze (DWI) v rozsahu celého těla s max. b faktorem min. 1000 a možností získání obrazů s jiným než naměřeným b-faktorem (v případě měření s vícečetným b-faktorem), automatický výpočet ADC map. Jako metody měření musí být k dispozici jak EPI DWI, tak i SS-TSE DWI.</w:t>
            </w:r>
          </w:p>
        </w:tc>
        <w:tc>
          <w:tcPr>
            <w:tcW w:w="1560" w:type="dxa"/>
            <w:shd w:val="clear" w:color="auto" w:fill="auto"/>
            <w:vAlign w:val="center"/>
          </w:tcPr>
          <w:p w14:paraId="11C22D7A" w14:textId="7E138EEE" w:rsidR="00B4069C" w:rsidRPr="0069091A" w:rsidRDefault="00B942E7"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1575F22" w14:textId="4F5F3EF0" w:rsidR="00B4069C" w:rsidRPr="0069091A" w:rsidRDefault="00B942E7"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327661EB" w14:textId="77777777" w:rsidTr="0069091A">
        <w:trPr>
          <w:cantSplit/>
        </w:trPr>
        <w:tc>
          <w:tcPr>
            <w:tcW w:w="5103" w:type="dxa"/>
            <w:shd w:val="clear" w:color="auto" w:fill="auto"/>
          </w:tcPr>
          <w:p w14:paraId="76631B03" w14:textId="15B1CA54" w:rsidR="00B4069C" w:rsidRPr="00FA2C83" w:rsidRDefault="00C40EA8" w:rsidP="00C40EA8">
            <w:pPr>
              <w:pStyle w:val="Normlnweb"/>
              <w:spacing w:after="120"/>
              <w:rPr>
                <w:rFonts w:ascii="Calibri" w:hAnsi="Calibri" w:cs="Calibri"/>
                <w:bCs/>
                <w:sz w:val="22"/>
                <w:szCs w:val="22"/>
              </w:rPr>
            </w:pPr>
            <w:r w:rsidRPr="00FA2C83">
              <w:rPr>
                <w:rFonts w:ascii="Calibri" w:hAnsi="Calibri" w:cs="Calibri"/>
                <w:color w:val="000000" w:themeColor="text1"/>
                <w:sz w:val="22"/>
                <w:szCs w:val="22"/>
              </w:rPr>
              <w:t>rychlé 3D sekvence s potlačením signálu tuku pro vyšetření břišních orgánů během jediného nádechu pacienty</w:t>
            </w:r>
          </w:p>
        </w:tc>
        <w:tc>
          <w:tcPr>
            <w:tcW w:w="1560" w:type="dxa"/>
            <w:shd w:val="clear" w:color="auto" w:fill="auto"/>
            <w:vAlign w:val="center"/>
          </w:tcPr>
          <w:p w14:paraId="531049A2" w14:textId="4DC7F77F"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32E5BC52" w14:textId="2E4DD967"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4F7D11E1" w14:textId="77777777" w:rsidTr="0069091A">
        <w:trPr>
          <w:cantSplit/>
        </w:trPr>
        <w:tc>
          <w:tcPr>
            <w:tcW w:w="5103" w:type="dxa"/>
            <w:shd w:val="clear" w:color="auto" w:fill="auto"/>
          </w:tcPr>
          <w:p w14:paraId="24B26044" w14:textId="36A4BAB6" w:rsidR="00B4069C"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techniky saturace signálu tuku pomocí chemického posunu (</w:t>
            </w:r>
            <w:proofErr w:type="spellStart"/>
            <w:r w:rsidRPr="00FA2C83">
              <w:rPr>
                <w:rFonts w:ascii="Calibri" w:hAnsi="Calibri" w:cs="Calibri"/>
                <w:color w:val="000000" w:themeColor="text1"/>
                <w:sz w:val="22"/>
                <w:szCs w:val="22"/>
              </w:rPr>
              <w:t>FatSat</w:t>
            </w:r>
            <w:proofErr w:type="spellEnd"/>
            <w:r w:rsidRPr="00FA2C83">
              <w:rPr>
                <w:rFonts w:ascii="Calibri" w:hAnsi="Calibri" w:cs="Calibri"/>
                <w:color w:val="000000" w:themeColor="text1"/>
                <w:sz w:val="22"/>
                <w:szCs w:val="22"/>
              </w:rPr>
              <w:t>, SPIR, MSOFT a také SPAIR), potlačení signálu tuku pomocí excitace vody (</w:t>
            </w:r>
            <w:proofErr w:type="spellStart"/>
            <w:r w:rsidRPr="00FA2C83">
              <w:rPr>
                <w:rFonts w:ascii="Calibri" w:hAnsi="Calibri" w:cs="Calibri"/>
                <w:color w:val="000000" w:themeColor="text1"/>
                <w:sz w:val="22"/>
                <w:szCs w:val="22"/>
              </w:rPr>
              <w:t>Water</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Excitation</w:t>
            </w:r>
            <w:proofErr w:type="spellEnd"/>
            <w:r w:rsidRPr="00FA2C83">
              <w:rPr>
                <w:rFonts w:ascii="Calibri" w:hAnsi="Calibri" w:cs="Calibri"/>
                <w:color w:val="000000" w:themeColor="text1"/>
                <w:sz w:val="22"/>
                <w:szCs w:val="22"/>
              </w:rPr>
              <w:t xml:space="preserve">, PROSET, WET), dále technika </w:t>
            </w:r>
            <w:proofErr w:type="spellStart"/>
            <w:r w:rsidRPr="00FA2C83">
              <w:rPr>
                <w:rFonts w:ascii="Calibri" w:hAnsi="Calibri" w:cs="Calibri"/>
                <w:color w:val="000000" w:themeColor="text1"/>
                <w:sz w:val="22"/>
                <w:szCs w:val="22"/>
              </w:rPr>
              <w:t>Dixon</w:t>
            </w:r>
            <w:proofErr w:type="spellEnd"/>
            <w:r w:rsidRPr="00FA2C83">
              <w:rPr>
                <w:rFonts w:ascii="Calibri" w:hAnsi="Calibri" w:cs="Calibri"/>
                <w:color w:val="000000" w:themeColor="text1"/>
                <w:sz w:val="22"/>
                <w:szCs w:val="22"/>
              </w:rPr>
              <w:t xml:space="preserve"> 2D i 3D</w:t>
            </w:r>
          </w:p>
        </w:tc>
        <w:tc>
          <w:tcPr>
            <w:tcW w:w="1560" w:type="dxa"/>
            <w:shd w:val="clear" w:color="auto" w:fill="auto"/>
            <w:vAlign w:val="center"/>
          </w:tcPr>
          <w:p w14:paraId="6A23E05A" w14:textId="0B6EA153"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7D62B9C1" w14:textId="7B9A01DB"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12AC4103" w14:textId="77777777" w:rsidTr="0069091A">
        <w:trPr>
          <w:cantSplit/>
        </w:trPr>
        <w:tc>
          <w:tcPr>
            <w:tcW w:w="5103" w:type="dxa"/>
            <w:shd w:val="clear" w:color="auto" w:fill="auto"/>
          </w:tcPr>
          <w:p w14:paraId="3440926C" w14:textId="4DDB4F29" w:rsidR="00B4069C"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software umožňující automatické i manuální skládání obrazů z různých FOV při různých polohách stolu do jednoho celku</w:t>
            </w:r>
          </w:p>
        </w:tc>
        <w:tc>
          <w:tcPr>
            <w:tcW w:w="1560" w:type="dxa"/>
            <w:shd w:val="clear" w:color="auto" w:fill="auto"/>
            <w:vAlign w:val="center"/>
          </w:tcPr>
          <w:p w14:paraId="2C3E0E21" w14:textId="2E2FACFE"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3B0DA1C" w14:textId="5E462CA9"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058DC4C9" w14:textId="77777777" w:rsidTr="00D46083">
        <w:trPr>
          <w:cantSplit/>
        </w:trPr>
        <w:tc>
          <w:tcPr>
            <w:tcW w:w="5103" w:type="dxa"/>
            <w:shd w:val="clear" w:color="auto" w:fill="auto"/>
            <w:vAlign w:val="center"/>
          </w:tcPr>
          <w:p w14:paraId="0879E54C" w14:textId="11C83FC2" w:rsidR="00B4069C"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lastRenderedPageBreak/>
              <w:t xml:space="preserve">3D double </w:t>
            </w:r>
            <w:proofErr w:type="spellStart"/>
            <w:r w:rsidRPr="00FA2C83">
              <w:rPr>
                <w:rFonts w:ascii="Calibri" w:hAnsi="Calibri" w:cs="Calibri"/>
                <w:color w:val="000000" w:themeColor="text1"/>
                <w:sz w:val="22"/>
                <w:szCs w:val="22"/>
              </w:rPr>
              <w:t>inversion</w:t>
            </w:r>
            <w:proofErr w:type="spellEnd"/>
            <w:r w:rsidRPr="00FA2C83">
              <w:rPr>
                <w:rFonts w:ascii="Calibri" w:hAnsi="Calibri" w:cs="Calibri"/>
                <w:color w:val="000000" w:themeColor="text1"/>
                <w:sz w:val="22"/>
                <w:szCs w:val="22"/>
              </w:rPr>
              <w:t xml:space="preserve"> </w:t>
            </w:r>
            <w:proofErr w:type="spellStart"/>
            <w:r w:rsidRPr="00FA2C83">
              <w:rPr>
                <w:rFonts w:ascii="Calibri" w:hAnsi="Calibri" w:cs="Calibri"/>
                <w:color w:val="000000" w:themeColor="text1"/>
                <w:sz w:val="22"/>
                <w:szCs w:val="22"/>
              </w:rPr>
              <w:t>recovery</w:t>
            </w:r>
            <w:proofErr w:type="spellEnd"/>
            <w:r w:rsidRPr="00FA2C83">
              <w:rPr>
                <w:rFonts w:ascii="Calibri" w:hAnsi="Calibri" w:cs="Calibri"/>
                <w:color w:val="000000" w:themeColor="text1"/>
                <w:sz w:val="22"/>
                <w:szCs w:val="22"/>
              </w:rPr>
              <w:t xml:space="preserve"> (3D DIR) sekvence</w:t>
            </w:r>
          </w:p>
        </w:tc>
        <w:tc>
          <w:tcPr>
            <w:tcW w:w="1560" w:type="dxa"/>
            <w:shd w:val="clear" w:color="auto" w:fill="auto"/>
            <w:vAlign w:val="center"/>
          </w:tcPr>
          <w:p w14:paraId="475E3893" w14:textId="760C5CD2"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04AD4070" w14:textId="452C4435"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B4069C" w14:paraId="5C94C69A" w14:textId="77777777" w:rsidTr="0069091A">
        <w:trPr>
          <w:cantSplit/>
        </w:trPr>
        <w:tc>
          <w:tcPr>
            <w:tcW w:w="5103" w:type="dxa"/>
            <w:shd w:val="clear" w:color="auto" w:fill="auto"/>
          </w:tcPr>
          <w:p w14:paraId="5AD949E8" w14:textId="161B0F54" w:rsidR="00B4069C"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možnost monitorace polohy bránice v reálném čase (</w:t>
            </w:r>
            <w:proofErr w:type="spellStart"/>
            <w:r w:rsidRPr="00FA2C83">
              <w:rPr>
                <w:rFonts w:ascii="Calibri" w:hAnsi="Calibri" w:cs="Calibri"/>
                <w:color w:val="000000" w:themeColor="text1"/>
                <w:sz w:val="22"/>
                <w:szCs w:val="22"/>
              </w:rPr>
              <w:t>navigátorové</w:t>
            </w:r>
            <w:proofErr w:type="spellEnd"/>
            <w:r w:rsidRPr="00FA2C83">
              <w:rPr>
                <w:rFonts w:ascii="Calibri" w:hAnsi="Calibri" w:cs="Calibri"/>
                <w:color w:val="000000" w:themeColor="text1"/>
                <w:sz w:val="22"/>
                <w:szCs w:val="22"/>
              </w:rPr>
              <w:t xml:space="preserve"> echo) pro synchronizaci náběru dat s respirací</w:t>
            </w:r>
          </w:p>
        </w:tc>
        <w:tc>
          <w:tcPr>
            <w:tcW w:w="1560" w:type="dxa"/>
            <w:shd w:val="clear" w:color="auto" w:fill="auto"/>
            <w:vAlign w:val="center"/>
          </w:tcPr>
          <w:p w14:paraId="5CF541B1" w14:textId="5351C83E"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7E5F92B" w14:textId="4E4185E9" w:rsidR="00B4069C" w:rsidRPr="0069091A" w:rsidRDefault="00B4069C" w:rsidP="00B4069C">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180D4AA4" w14:textId="77777777" w:rsidTr="0069091A">
        <w:trPr>
          <w:cantSplit/>
        </w:trPr>
        <w:tc>
          <w:tcPr>
            <w:tcW w:w="5103" w:type="dxa"/>
            <w:shd w:val="clear" w:color="auto" w:fill="auto"/>
          </w:tcPr>
          <w:p w14:paraId="745EA999" w14:textId="6B7F2088"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sekvence pro zobrazování srdce (morfologie, kinetika, průtok, </w:t>
            </w:r>
            <w:proofErr w:type="spellStart"/>
            <w:r w:rsidRPr="00FA2C83">
              <w:rPr>
                <w:rFonts w:ascii="Calibri" w:hAnsi="Calibri" w:cs="Calibri"/>
                <w:color w:val="000000" w:themeColor="text1"/>
                <w:sz w:val="22"/>
                <w:szCs w:val="22"/>
              </w:rPr>
              <w:t>perfúze</w:t>
            </w:r>
            <w:proofErr w:type="spellEnd"/>
            <w:r w:rsidRPr="00FA2C83">
              <w:rPr>
                <w:rFonts w:ascii="Calibri" w:hAnsi="Calibri" w:cs="Calibri"/>
                <w:color w:val="000000" w:themeColor="text1"/>
                <w:sz w:val="22"/>
                <w:szCs w:val="22"/>
              </w:rPr>
              <w:t xml:space="preserve">, pozdní </w:t>
            </w:r>
            <w:proofErr w:type="spellStart"/>
            <w:r w:rsidRPr="00FA2C83">
              <w:rPr>
                <w:rFonts w:ascii="Calibri" w:hAnsi="Calibri" w:cs="Calibri"/>
                <w:color w:val="000000" w:themeColor="text1"/>
                <w:sz w:val="22"/>
                <w:szCs w:val="22"/>
              </w:rPr>
              <w:t>enhancement</w:t>
            </w:r>
            <w:proofErr w:type="spellEnd"/>
            <w:r w:rsidRPr="00FA2C83">
              <w:rPr>
                <w:rFonts w:ascii="Calibri" w:hAnsi="Calibri" w:cs="Calibri"/>
                <w:color w:val="000000" w:themeColor="text1"/>
                <w:sz w:val="22"/>
                <w:szCs w:val="22"/>
              </w:rPr>
              <w:t>, MOLLI) včetně softwaru pro funkční analýzu obou komor a analýzu toků</w:t>
            </w:r>
          </w:p>
        </w:tc>
        <w:tc>
          <w:tcPr>
            <w:tcW w:w="1560" w:type="dxa"/>
            <w:shd w:val="clear" w:color="auto" w:fill="auto"/>
            <w:vAlign w:val="center"/>
          </w:tcPr>
          <w:p w14:paraId="6E9D5794" w14:textId="6198D52B"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2535B27E" w14:textId="3F36BFA4"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5D719A33" w14:textId="77777777" w:rsidTr="0069091A">
        <w:trPr>
          <w:cantSplit/>
        </w:trPr>
        <w:tc>
          <w:tcPr>
            <w:tcW w:w="5103" w:type="dxa"/>
            <w:shd w:val="clear" w:color="auto" w:fill="auto"/>
          </w:tcPr>
          <w:p w14:paraId="29B5BFD9" w14:textId="4845313F" w:rsidR="005160D4" w:rsidRPr="00FA2C83" w:rsidRDefault="00C40EA8" w:rsidP="00C40EA8">
            <w:pPr>
              <w:pStyle w:val="Normlnweb"/>
              <w:spacing w:after="120"/>
              <w:rPr>
                <w:rFonts w:ascii="Calibri" w:hAnsi="Calibri" w:cs="Calibri"/>
                <w:b/>
                <w:color w:val="000000" w:themeColor="text1"/>
                <w:sz w:val="22"/>
                <w:szCs w:val="22"/>
              </w:rPr>
            </w:pPr>
            <w:r w:rsidRPr="00FA2C83">
              <w:rPr>
                <w:rFonts w:ascii="Calibri" w:hAnsi="Calibri" w:cs="Calibri"/>
                <w:b/>
                <w:bCs/>
                <w:color w:val="000000" w:themeColor="text1"/>
                <w:sz w:val="22"/>
                <w:szCs w:val="22"/>
              </w:rPr>
              <w:t>Diagnostický MR server</w:t>
            </w:r>
          </w:p>
        </w:tc>
        <w:tc>
          <w:tcPr>
            <w:tcW w:w="1560" w:type="dxa"/>
            <w:shd w:val="clear" w:color="auto" w:fill="auto"/>
            <w:vAlign w:val="center"/>
          </w:tcPr>
          <w:p w14:paraId="3C8D9E88" w14:textId="69A688EC" w:rsidR="005160D4" w:rsidRPr="0069091A" w:rsidRDefault="005160D4" w:rsidP="005160D4">
            <w:pPr>
              <w:jc w:val="center"/>
              <w:rPr>
                <w:rFonts w:ascii="Calibri" w:hAnsi="Calibri" w:cs="Calibri"/>
                <w:color w:val="FF0000"/>
                <w:sz w:val="22"/>
                <w:szCs w:val="22"/>
              </w:rPr>
            </w:pPr>
          </w:p>
        </w:tc>
        <w:tc>
          <w:tcPr>
            <w:tcW w:w="2970" w:type="dxa"/>
            <w:shd w:val="clear" w:color="auto" w:fill="auto"/>
            <w:vAlign w:val="center"/>
          </w:tcPr>
          <w:p w14:paraId="200791D0" w14:textId="0BA59089" w:rsidR="005160D4" w:rsidRPr="0069091A" w:rsidRDefault="005160D4" w:rsidP="005160D4">
            <w:pPr>
              <w:jc w:val="center"/>
              <w:rPr>
                <w:rFonts w:ascii="Calibri" w:hAnsi="Calibri" w:cs="Calibri"/>
                <w:color w:val="FF0000"/>
                <w:sz w:val="22"/>
                <w:szCs w:val="22"/>
              </w:rPr>
            </w:pPr>
          </w:p>
        </w:tc>
      </w:tr>
      <w:tr w:rsidR="005160D4" w14:paraId="3B55D73D" w14:textId="77777777" w:rsidTr="0069091A">
        <w:trPr>
          <w:cantSplit/>
        </w:trPr>
        <w:tc>
          <w:tcPr>
            <w:tcW w:w="5103" w:type="dxa"/>
            <w:shd w:val="clear" w:color="auto" w:fill="auto"/>
          </w:tcPr>
          <w:p w14:paraId="6D4152B3" w14:textId="6360470A"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Dodání serveru se všemi níže uvedenými software pro min. 10 možných připojení a min. 3 současně pracující uživatele.</w:t>
            </w:r>
          </w:p>
        </w:tc>
        <w:tc>
          <w:tcPr>
            <w:tcW w:w="1560" w:type="dxa"/>
            <w:shd w:val="clear" w:color="auto" w:fill="auto"/>
            <w:vAlign w:val="center"/>
          </w:tcPr>
          <w:p w14:paraId="7E0E85C6" w14:textId="428CFDD0"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0E2EFABD" w14:textId="35F1F37F"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046440E6" w14:textId="77777777" w:rsidTr="0069091A">
        <w:trPr>
          <w:cantSplit/>
        </w:trPr>
        <w:tc>
          <w:tcPr>
            <w:tcW w:w="5103" w:type="dxa"/>
            <w:shd w:val="clear" w:color="auto" w:fill="auto"/>
          </w:tcPr>
          <w:p w14:paraId="0876267D" w14:textId="77777777"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Tento server bude sloužit pro </w:t>
            </w:r>
            <w:proofErr w:type="spellStart"/>
            <w:r w:rsidRPr="00FA2C83">
              <w:rPr>
                <w:rFonts w:ascii="Calibri" w:hAnsi="Calibri" w:cs="Calibri"/>
                <w:color w:val="000000" w:themeColor="text1"/>
                <w:sz w:val="22"/>
                <w:szCs w:val="22"/>
              </w:rPr>
              <w:t>postprocesingové</w:t>
            </w:r>
            <w:proofErr w:type="spellEnd"/>
            <w:r w:rsidRPr="00FA2C83">
              <w:rPr>
                <w:rFonts w:ascii="Calibri" w:hAnsi="Calibri" w:cs="Calibri"/>
                <w:color w:val="000000" w:themeColor="text1"/>
                <w:sz w:val="22"/>
                <w:szCs w:val="22"/>
              </w:rPr>
              <w:t xml:space="preserve"> zpracování vyšetření z obou MR přístrojů na oddělení, jak nově dodávaného tak současného 3T přístroje. </w:t>
            </w:r>
            <w:r w:rsidR="00C02766" w:rsidRPr="00FA2C83">
              <w:rPr>
                <w:rFonts w:ascii="Calibri" w:hAnsi="Calibri" w:cs="Calibri"/>
                <w:color w:val="000000" w:themeColor="text1"/>
                <w:sz w:val="22"/>
                <w:szCs w:val="22"/>
              </w:rPr>
              <w:t>M</w:t>
            </w:r>
            <w:r w:rsidRPr="00FA2C83">
              <w:rPr>
                <w:rFonts w:ascii="Calibri" w:hAnsi="Calibri" w:cs="Calibri"/>
                <w:color w:val="000000" w:themeColor="text1"/>
                <w:sz w:val="22"/>
                <w:szCs w:val="22"/>
              </w:rPr>
              <w:t>usí být dostupné všechny funkcionality současné diagnostické stanice 3T přístroje, krom speciálního SW řešení syntetického MR mozku. V případě, že dodavatel nemůže použít současný SW ze stávající pracovní stanice, lze dodat diagnostický server s odpovídajícím SW vybavením dle řešení dodavatele, který bude umožňovat zpracování DICOM obrazového výstupu ze stávajícího 3T MR přístroje i přístroje nového.</w:t>
            </w:r>
          </w:p>
          <w:p w14:paraId="53935DB9" w14:textId="024C0CEE" w:rsidR="005369D4" w:rsidRPr="00FA2C83" w:rsidRDefault="005369D4" w:rsidP="00C40EA8">
            <w:pPr>
              <w:pStyle w:val="Normlnweb"/>
              <w:spacing w:after="120"/>
              <w:rPr>
                <w:rFonts w:ascii="Calibri" w:hAnsi="Calibri" w:cs="Calibri"/>
                <w:color w:val="000000" w:themeColor="text1"/>
                <w:sz w:val="20"/>
                <w:szCs w:val="20"/>
              </w:rPr>
            </w:pPr>
            <w:r w:rsidRPr="00FA2C83">
              <w:rPr>
                <w:rFonts w:ascii="Calibri" w:hAnsi="Calibri" w:cs="Calibri"/>
                <w:b/>
                <w:sz w:val="20"/>
                <w:szCs w:val="20"/>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FA2C83">
              <w:rPr>
                <w:rFonts w:ascii="Calibri" w:hAnsi="Calibri" w:cs="Calibri"/>
                <w:b/>
                <w:bCs/>
                <w:sz w:val="20"/>
                <w:szCs w:val="20"/>
              </w:rPr>
              <w:t>v souladu s § 89 odst. 6 zákona možné nabídnout i jiné, rovnocenné řešení</w:t>
            </w:r>
          </w:p>
        </w:tc>
        <w:tc>
          <w:tcPr>
            <w:tcW w:w="1560" w:type="dxa"/>
            <w:shd w:val="clear" w:color="auto" w:fill="auto"/>
            <w:vAlign w:val="center"/>
          </w:tcPr>
          <w:p w14:paraId="577F627D" w14:textId="1E172E4C"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CF23EE9" w14:textId="7A57E74F"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51EE079F" w14:textId="77777777" w:rsidTr="0069091A">
        <w:trPr>
          <w:cantSplit/>
        </w:trPr>
        <w:tc>
          <w:tcPr>
            <w:tcW w:w="5103" w:type="dxa"/>
            <w:shd w:val="clear" w:color="auto" w:fill="auto"/>
          </w:tcPr>
          <w:p w14:paraId="477550BD" w14:textId="7959282A" w:rsidR="00C40EA8"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DICOM prohlížeč snímků s přímým napojením na PACS a MR přístroj se standardními funkcemi jako je měření vzdáleností, objemů a úhlů, změna okna, MPR, MIP, VRT apod.</w:t>
            </w:r>
            <w:r w:rsidRPr="00FA2C83">
              <w:rPr>
                <w:rFonts w:ascii="Calibri" w:hAnsi="Calibri" w:cs="Calibri"/>
                <w:color w:val="000000" w:themeColor="text1"/>
                <w:sz w:val="22"/>
                <w:szCs w:val="22"/>
              </w:rPr>
              <w:tab/>
            </w:r>
          </w:p>
        </w:tc>
        <w:tc>
          <w:tcPr>
            <w:tcW w:w="1560" w:type="dxa"/>
            <w:shd w:val="clear" w:color="auto" w:fill="auto"/>
            <w:vAlign w:val="center"/>
          </w:tcPr>
          <w:p w14:paraId="7AA73F1E" w14:textId="1951A967"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7D2D67A4" w14:textId="6CDC96E1"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0245143F" w14:textId="77777777" w:rsidTr="0069091A">
        <w:trPr>
          <w:cantSplit/>
        </w:trPr>
        <w:tc>
          <w:tcPr>
            <w:tcW w:w="5103" w:type="dxa"/>
            <w:shd w:val="clear" w:color="auto" w:fill="auto"/>
          </w:tcPr>
          <w:p w14:paraId="1BC489E3" w14:textId="360155E7"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software pro zajištění pokrytí plného spektra požadovaných vyšetření uvedených v části „požadovaná vyšetření“ a dále SW vybavení umožňující následující zpracování získaných dat v daných oblastech:</w:t>
            </w:r>
          </w:p>
        </w:tc>
        <w:tc>
          <w:tcPr>
            <w:tcW w:w="1560" w:type="dxa"/>
            <w:shd w:val="clear" w:color="auto" w:fill="auto"/>
            <w:vAlign w:val="center"/>
          </w:tcPr>
          <w:p w14:paraId="5DEA8302" w14:textId="659513FF"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08B0D0C0" w14:textId="232D0AF6"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7AF50A4E" w14:textId="77777777" w:rsidTr="0069091A">
        <w:trPr>
          <w:cantSplit/>
        </w:trPr>
        <w:tc>
          <w:tcPr>
            <w:tcW w:w="5103" w:type="dxa"/>
            <w:shd w:val="clear" w:color="auto" w:fill="auto"/>
          </w:tcPr>
          <w:p w14:paraId="40D52335" w14:textId="55E4CE11"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cévní analýza – vizualizace a segmentace cévních struktur, měření stenóz, automatické cévní měření (délka, průměr, stenóza apod.)</w:t>
            </w:r>
          </w:p>
        </w:tc>
        <w:tc>
          <w:tcPr>
            <w:tcW w:w="1560" w:type="dxa"/>
            <w:shd w:val="clear" w:color="auto" w:fill="auto"/>
            <w:vAlign w:val="center"/>
          </w:tcPr>
          <w:p w14:paraId="4BB47EF2" w14:textId="120A335F"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676E9D2" w14:textId="2C61793D"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17343C10" w14:textId="77777777" w:rsidTr="0069091A">
        <w:trPr>
          <w:cantSplit/>
        </w:trPr>
        <w:tc>
          <w:tcPr>
            <w:tcW w:w="5103" w:type="dxa"/>
            <w:shd w:val="clear" w:color="auto" w:fill="auto"/>
          </w:tcPr>
          <w:p w14:paraId="30844B93" w14:textId="43D97CC9"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tělová </w:t>
            </w:r>
            <w:proofErr w:type="spellStart"/>
            <w:r w:rsidRPr="00FA2C83">
              <w:rPr>
                <w:rFonts w:ascii="Calibri" w:hAnsi="Calibri" w:cs="Calibri"/>
                <w:color w:val="000000" w:themeColor="text1"/>
                <w:sz w:val="22"/>
                <w:szCs w:val="22"/>
              </w:rPr>
              <w:t>perfuze</w:t>
            </w:r>
            <w:proofErr w:type="spellEnd"/>
            <w:r w:rsidRPr="00FA2C83">
              <w:rPr>
                <w:rFonts w:ascii="Calibri" w:hAnsi="Calibri" w:cs="Calibri"/>
                <w:color w:val="000000" w:themeColor="text1"/>
                <w:sz w:val="22"/>
                <w:szCs w:val="22"/>
              </w:rPr>
              <w:t xml:space="preserve"> včetně mozku – automatický výpočet map s možností manuální korekce na podkladě několika (min. 3) </w:t>
            </w:r>
            <w:proofErr w:type="spellStart"/>
            <w:r w:rsidRPr="00FA2C83">
              <w:rPr>
                <w:rFonts w:ascii="Calibri" w:hAnsi="Calibri" w:cs="Calibri"/>
                <w:color w:val="000000" w:themeColor="text1"/>
                <w:sz w:val="22"/>
                <w:szCs w:val="22"/>
              </w:rPr>
              <w:t>dekonvulenčních</w:t>
            </w:r>
            <w:proofErr w:type="spellEnd"/>
            <w:r w:rsidRPr="00FA2C83">
              <w:rPr>
                <w:rFonts w:ascii="Calibri" w:hAnsi="Calibri" w:cs="Calibri"/>
                <w:color w:val="000000" w:themeColor="text1"/>
                <w:sz w:val="22"/>
                <w:szCs w:val="22"/>
              </w:rPr>
              <w:t xml:space="preserve"> metod s korekcí pohybu – výsledné mapy min. průtok (</w:t>
            </w:r>
            <w:proofErr w:type="spellStart"/>
            <w:r w:rsidRPr="00FA2C83">
              <w:rPr>
                <w:rFonts w:ascii="Calibri" w:hAnsi="Calibri" w:cs="Calibri"/>
                <w:color w:val="000000" w:themeColor="text1"/>
                <w:sz w:val="22"/>
                <w:szCs w:val="22"/>
              </w:rPr>
              <w:t>rBF</w:t>
            </w:r>
            <w:proofErr w:type="spellEnd"/>
            <w:r w:rsidRPr="00FA2C83">
              <w:rPr>
                <w:rFonts w:ascii="Calibri" w:hAnsi="Calibri" w:cs="Calibri"/>
                <w:color w:val="000000" w:themeColor="text1"/>
                <w:sz w:val="22"/>
                <w:szCs w:val="22"/>
              </w:rPr>
              <w:t>), objem (</w:t>
            </w:r>
            <w:proofErr w:type="spellStart"/>
            <w:r w:rsidRPr="00FA2C83">
              <w:rPr>
                <w:rFonts w:ascii="Calibri" w:hAnsi="Calibri" w:cs="Calibri"/>
                <w:color w:val="000000" w:themeColor="text1"/>
                <w:sz w:val="22"/>
                <w:szCs w:val="22"/>
              </w:rPr>
              <w:t>rBV</w:t>
            </w:r>
            <w:proofErr w:type="spellEnd"/>
            <w:r w:rsidRPr="00FA2C83">
              <w:rPr>
                <w:rFonts w:ascii="Calibri" w:hAnsi="Calibri" w:cs="Calibri"/>
                <w:color w:val="000000" w:themeColor="text1"/>
                <w:sz w:val="22"/>
                <w:szCs w:val="22"/>
              </w:rPr>
              <w:t>), čas průtoku (MTT), čas do maxima (TTP), mapa propustnosti</w:t>
            </w:r>
          </w:p>
        </w:tc>
        <w:tc>
          <w:tcPr>
            <w:tcW w:w="1560" w:type="dxa"/>
            <w:shd w:val="clear" w:color="auto" w:fill="auto"/>
            <w:vAlign w:val="center"/>
          </w:tcPr>
          <w:p w14:paraId="5E540B56" w14:textId="3274D5B4"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943C047" w14:textId="47372B3D"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47A2AAF8" w14:textId="77777777" w:rsidTr="0069091A">
        <w:trPr>
          <w:cantSplit/>
        </w:trPr>
        <w:tc>
          <w:tcPr>
            <w:tcW w:w="5103" w:type="dxa"/>
            <w:shd w:val="clear" w:color="auto" w:fill="auto"/>
          </w:tcPr>
          <w:p w14:paraId="2B848DE9" w14:textId="090098F8"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lastRenderedPageBreak/>
              <w:t xml:space="preserve">kinetická analýza křivky </w:t>
            </w:r>
            <w:proofErr w:type="spellStart"/>
            <w:r w:rsidRPr="00FA2C83">
              <w:rPr>
                <w:rFonts w:ascii="Calibri" w:hAnsi="Calibri" w:cs="Calibri"/>
                <w:color w:val="000000" w:themeColor="text1"/>
                <w:sz w:val="22"/>
                <w:szCs w:val="22"/>
              </w:rPr>
              <w:t>opacifikace</w:t>
            </w:r>
            <w:proofErr w:type="spellEnd"/>
            <w:r w:rsidRPr="00FA2C83">
              <w:rPr>
                <w:rFonts w:ascii="Calibri" w:hAnsi="Calibri" w:cs="Calibri"/>
                <w:color w:val="000000" w:themeColor="text1"/>
                <w:sz w:val="22"/>
                <w:szCs w:val="22"/>
              </w:rPr>
              <w:t xml:space="preserve"> po podání </w:t>
            </w:r>
            <w:proofErr w:type="spellStart"/>
            <w:r w:rsidRPr="00FA2C83">
              <w:rPr>
                <w:rFonts w:ascii="Calibri" w:hAnsi="Calibri" w:cs="Calibri"/>
                <w:color w:val="000000" w:themeColor="text1"/>
                <w:sz w:val="22"/>
                <w:szCs w:val="22"/>
              </w:rPr>
              <w:t>k.l</w:t>
            </w:r>
            <w:proofErr w:type="spellEnd"/>
            <w:r w:rsidRPr="00FA2C83">
              <w:rPr>
                <w:rFonts w:ascii="Calibri" w:hAnsi="Calibri" w:cs="Calibri"/>
                <w:color w:val="000000" w:themeColor="text1"/>
                <w:sz w:val="22"/>
                <w:szCs w:val="22"/>
              </w:rPr>
              <w:t xml:space="preserve">. – křivka </w:t>
            </w:r>
            <w:proofErr w:type="spellStart"/>
            <w:r w:rsidRPr="00FA2C83">
              <w:rPr>
                <w:rFonts w:ascii="Calibri" w:hAnsi="Calibri" w:cs="Calibri"/>
                <w:color w:val="000000" w:themeColor="text1"/>
                <w:sz w:val="22"/>
                <w:szCs w:val="22"/>
              </w:rPr>
              <w:t>opacifikace</w:t>
            </w:r>
            <w:proofErr w:type="spellEnd"/>
            <w:r w:rsidRPr="00FA2C83">
              <w:rPr>
                <w:rFonts w:ascii="Calibri" w:hAnsi="Calibri" w:cs="Calibri"/>
                <w:color w:val="000000" w:themeColor="text1"/>
                <w:sz w:val="22"/>
                <w:szCs w:val="22"/>
              </w:rPr>
              <w:t xml:space="preserve"> (využití zejména u Ca prostaty, prsu)</w:t>
            </w:r>
          </w:p>
        </w:tc>
        <w:tc>
          <w:tcPr>
            <w:tcW w:w="1560" w:type="dxa"/>
            <w:shd w:val="clear" w:color="auto" w:fill="auto"/>
            <w:vAlign w:val="center"/>
          </w:tcPr>
          <w:p w14:paraId="1744DF84" w14:textId="2A829CA0"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83F8373" w14:textId="6FBF7B51"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32292C80" w14:textId="77777777" w:rsidTr="0069091A">
        <w:trPr>
          <w:cantSplit/>
        </w:trPr>
        <w:tc>
          <w:tcPr>
            <w:tcW w:w="5103" w:type="dxa"/>
            <w:shd w:val="clear" w:color="auto" w:fill="auto"/>
          </w:tcPr>
          <w:p w14:paraId="363091DE" w14:textId="5BE696F7"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SW pro zobrazení </w:t>
            </w:r>
            <w:proofErr w:type="spellStart"/>
            <w:r w:rsidRPr="00FA2C83">
              <w:rPr>
                <w:rFonts w:ascii="Calibri" w:hAnsi="Calibri" w:cs="Calibri"/>
                <w:color w:val="000000" w:themeColor="text1"/>
                <w:sz w:val="22"/>
                <w:szCs w:val="22"/>
              </w:rPr>
              <w:t>stroke</w:t>
            </w:r>
            <w:proofErr w:type="spellEnd"/>
            <w:r w:rsidRPr="00FA2C83">
              <w:rPr>
                <w:rFonts w:ascii="Calibri" w:hAnsi="Calibri" w:cs="Calibri"/>
                <w:color w:val="000000" w:themeColor="text1"/>
                <w:sz w:val="22"/>
                <w:szCs w:val="22"/>
              </w:rPr>
              <w:t xml:space="preserve"> – automatický výpočet odhadu rozsahu infarktu a penumbry při </w:t>
            </w:r>
            <w:proofErr w:type="spellStart"/>
            <w:r w:rsidRPr="00FA2C83">
              <w:rPr>
                <w:rFonts w:ascii="Calibri" w:hAnsi="Calibri" w:cs="Calibri"/>
                <w:color w:val="000000" w:themeColor="text1"/>
                <w:sz w:val="22"/>
                <w:szCs w:val="22"/>
              </w:rPr>
              <w:t>iCMP</w:t>
            </w:r>
            <w:proofErr w:type="spellEnd"/>
          </w:p>
        </w:tc>
        <w:tc>
          <w:tcPr>
            <w:tcW w:w="1560" w:type="dxa"/>
            <w:shd w:val="clear" w:color="auto" w:fill="auto"/>
            <w:vAlign w:val="center"/>
          </w:tcPr>
          <w:p w14:paraId="0058C3A0" w14:textId="1FEAC06C"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85579A9" w14:textId="0BE4BB97"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3F24DA08" w14:textId="77777777" w:rsidTr="0069091A">
        <w:trPr>
          <w:cantSplit/>
        </w:trPr>
        <w:tc>
          <w:tcPr>
            <w:tcW w:w="5103" w:type="dxa"/>
            <w:shd w:val="clear" w:color="auto" w:fill="auto"/>
          </w:tcPr>
          <w:p w14:paraId="32DB0FCE" w14:textId="0C860EC2"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SW pro analýzu mozkových nádorů (zobrazení </w:t>
            </w:r>
            <w:proofErr w:type="spellStart"/>
            <w:r w:rsidRPr="00FA2C83">
              <w:rPr>
                <w:rFonts w:ascii="Calibri" w:hAnsi="Calibri" w:cs="Calibri"/>
                <w:color w:val="000000" w:themeColor="text1"/>
                <w:sz w:val="22"/>
                <w:szCs w:val="22"/>
              </w:rPr>
              <w:t>perfuzních</w:t>
            </w:r>
            <w:proofErr w:type="spellEnd"/>
            <w:r w:rsidRPr="00FA2C83">
              <w:rPr>
                <w:rFonts w:ascii="Calibri" w:hAnsi="Calibri" w:cs="Calibri"/>
                <w:color w:val="000000" w:themeColor="text1"/>
                <w:sz w:val="22"/>
                <w:szCs w:val="22"/>
              </w:rPr>
              <w:t xml:space="preserve"> map nádoru včetně permeability, kinetická analýza křivky, kvantitativní a kvalitativní analýza apod.)</w:t>
            </w:r>
          </w:p>
        </w:tc>
        <w:tc>
          <w:tcPr>
            <w:tcW w:w="1560" w:type="dxa"/>
            <w:shd w:val="clear" w:color="auto" w:fill="auto"/>
            <w:vAlign w:val="center"/>
          </w:tcPr>
          <w:p w14:paraId="18FA26A8" w14:textId="60FD46DA"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FA9C62F" w14:textId="6F93FF78"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6D4753F1" w14:textId="77777777" w:rsidTr="0069091A">
        <w:trPr>
          <w:cantSplit/>
        </w:trPr>
        <w:tc>
          <w:tcPr>
            <w:tcW w:w="5103" w:type="dxa"/>
            <w:shd w:val="clear" w:color="auto" w:fill="auto"/>
          </w:tcPr>
          <w:p w14:paraId="581FB2B8" w14:textId="033846A5"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SW pro analýzu nádorů prostaty (difúze, permeability apod.) včetně PI-RADS klasifikace</w:t>
            </w:r>
          </w:p>
        </w:tc>
        <w:tc>
          <w:tcPr>
            <w:tcW w:w="1560" w:type="dxa"/>
            <w:shd w:val="clear" w:color="auto" w:fill="auto"/>
            <w:vAlign w:val="center"/>
          </w:tcPr>
          <w:p w14:paraId="5318121C" w14:textId="1BBC9C7A"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D7BB122" w14:textId="2DCBADCB"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6B3BF767" w14:textId="77777777" w:rsidTr="0069091A">
        <w:trPr>
          <w:cantSplit/>
        </w:trPr>
        <w:tc>
          <w:tcPr>
            <w:tcW w:w="5103" w:type="dxa"/>
            <w:shd w:val="clear" w:color="auto" w:fill="auto"/>
          </w:tcPr>
          <w:p w14:paraId="65D322B6" w14:textId="3A0A458D" w:rsidR="005160D4" w:rsidRPr="00FA2C83" w:rsidRDefault="00C40EA8" w:rsidP="00C40EA8">
            <w:pPr>
              <w:pStyle w:val="Normlnweb"/>
              <w:spacing w:after="120"/>
              <w:rPr>
                <w:rFonts w:ascii="Calibri" w:hAnsi="Calibri" w:cs="Calibri"/>
                <w:bCs/>
                <w:sz w:val="22"/>
                <w:szCs w:val="22"/>
              </w:rPr>
            </w:pPr>
            <w:r w:rsidRPr="00FA2C83">
              <w:rPr>
                <w:rFonts w:ascii="Calibri" w:hAnsi="Calibri" w:cs="Calibri"/>
                <w:color w:val="000000" w:themeColor="text1"/>
                <w:sz w:val="22"/>
                <w:szCs w:val="22"/>
              </w:rPr>
              <w:t>SW pro měření frakce tuku v játrech pro hodnocení difuzního jaterního postižení</w:t>
            </w:r>
          </w:p>
        </w:tc>
        <w:tc>
          <w:tcPr>
            <w:tcW w:w="1560" w:type="dxa"/>
            <w:shd w:val="clear" w:color="auto" w:fill="auto"/>
            <w:vAlign w:val="center"/>
          </w:tcPr>
          <w:p w14:paraId="6FE7A051" w14:textId="79D7046F"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23FE3B77" w14:textId="48D1FF4C"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57458B9A" w14:textId="77777777" w:rsidTr="0069091A">
        <w:trPr>
          <w:cantSplit/>
        </w:trPr>
        <w:tc>
          <w:tcPr>
            <w:tcW w:w="5103" w:type="dxa"/>
            <w:shd w:val="clear" w:color="auto" w:fill="auto"/>
          </w:tcPr>
          <w:p w14:paraId="50DFB2B9" w14:textId="137983C8" w:rsidR="005160D4" w:rsidRPr="00FA2C83" w:rsidRDefault="00C40EA8" w:rsidP="00C40EA8">
            <w:pPr>
              <w:pStyle w:val="Normlnweb"/>
              <w:spacing w:after="120"/>
              <w:rPr>
                <w:rFonts w:ascii="Calibri" w:hAnsi="Calibri" w:cs="Calibri"/>
                <w:bCs/>
                <w:sz w:val="22"/>
                <w:szCs w:val="22"/>
              </w:rPr>
            </w:pPr>
            <w:r w:rsidRPr="00FA2C83">
              <w:rPr>
                <w:rFonts w:ascii="Calibri" w:hAnsi="Calibri" w:cs="Calibri"/>
                <w:color w:val="000000" w:themeColor="text1"/>
                <w:sz w:val="22"/>
                <w:szCs w:val="22"/>
              </w:rPr>
              <w:t>SW pro měření relaxačních časů z MR obrazů (</w:t>
            </w:r>
            <w:proofErr w:type="spellStart"/>
            <w:r w:rsidRPr="00FA2C83">
              <w:rPr>
                <w:rFonts w:ascii="Calibri" w:hAnsi="Calibri" w:cs="Calibri"/>
                <w:color w:val="000000" w:themeColor="text1"/>
                <w:sz w:val="22"/>
                <w:szCs w:val="22"/>
              </w:rPr>
              <w:t>relaxometrie</w:t>
            </w:r>
            <w:proofErr w:type="spellEnd"/>
            <w:r w:rsidRPr="00FA2C83">
              <w:rPr>
                <w:rFonts w:ascii="Calibri" w:hAnsi="Calibri" w:cs="Calibri"/>
                <w:color w:val="000000" w:themeColor="text1"/>
                <w:sz w:val="22"/>
                <w:szCs w:val="22"/>
              </w:rPr>
              <w:t>)</w:t>
            </w:r>
          </w:p>
        </w:tc>
        <w:tc>
          <w:tcPr>
            <w:tcW w:w="1560" w:type="dxa"/>
            <w:shd w:val="clear" w:color="auto" w:fill="auto"/>
            <w:vAlign w:val="center"/>
          </w:tcPr>
          <w:p w14:paraId="30D84EA8" w14:textId="3B3BF2E2"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754E48A3" w14:textId="05E18DA4"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7710D2D0" w14:textId="77777777" w:rsidTr="0069091A">
        <w:trPr>
          <w:cantSplit/>
        </w:trPr>
        <w:tc>
          <w:tcPr>
            <w:tcW w:w="5103" w:type="dxa"/>
            <w:shd w:val="clear" w:color="auto" w:fill="auto"/>
          </w:tcPr>
          <w:p w14:paraId="35B99B13" w14:textId="33C6B913"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SW pro hodnocení změn stěny rekta při nádoru rekta (difúze, permeabilita, </w:t>
            </w:r>
            <w:proofErr w:type="spellStart"/>
            <w:r w:rsidRPr="00FA2C83">
              <w:rPr>
                <w:rFonts w:ascii="Calibri" w:hAnsi="Calibri" w:cs="Calibri"/>
                <w:color w:val="000000" w:themeColor="text1"/>
                <w:sz w:val="22"/>
                <w:szCs w:val="22"/>
              </w:rPr>
              <w:t>Ktrans</w:t>
            </w:r>
            <w:proofErr w:type="spellEnd"/>
            <w:r w:rsidRPr="00FA2C83">
              <w:rPr>
                <w:rFonts w:ascii="Calibri" w:hAnsi="Calibri" w:cs="Calibri"/>
                <w:color w:val="000000" w:themeColor="text1"/>
                <w:sz w:val="22"/>
                <w:szCs w:val="22"/>
              </w:rPr>
              <w:t xml:space="preserve"> mapy apod.)</w:t>
            </w:r>
          </w:p>
        </w:tc>
        <w:tc>
          <w:tcPr>
            <w:tcW w:w="1560" w:type="dxa"/>
            <w:shd w:val="clear" w:color="auto" w:fill="auto"/>
            <w:vAlign w:val="center"/>
          </w:tcPr>
          <w:p w14:paraId="2C7EFC6C" w14:textId="2DD9379E" w:rsidR="005160D4" w:rsidRPr="0069091A" w:rsidRDefault="00C40EA8"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1EA690E1" w14:textId="013761CC" w:rsidR="005160D4" w:rsidRPr="0069091A" w:rsidRDefault="00C40EA8"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3BE7BB74" w14:textId="77777777" w:rsidTr="0069091A">
        <w:trPr>
          <w:cantSplit/>
        </w:trPr>
        <w:tc>
          <w:tcPr>
            <w:tcW w:w="5103" w:type="dxa"/>
            <w:shd w:val="clear" w:color="auto" w:fill="auto"/>
          </w:tcPr>
          <w:p w14:paraId="4A4786C1" w14:textId="10FDB7C4" w:rsidR="005160D4" w:rsidRPr="00FA2C83" w:rsidRDefault="00C40EA8" w:rsidP="00C40EA8">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SW pro vyhodnocování odpovědi na léčbu u pacientů s roztroušenou sklerózou mozkomíšní (posouzení počtu, velikosti a metabolickou aktivitu měřitelných lézí s automatickým porovnáním a reportingem)</w:t>
            </w:r>
          </w:p>
        </w:tc>
        <w:tc>
          <w:tcPr>
            <w:tcW w:w="1560" w:type="dxa"/>
            <w:shd w:val="clear" w:color="auto" w:fill="auto"/>
            <w:vAlign w:val="center"/>
          </w:tcPr>
          <w:p w14:paraId="350973F4" w14:textId="01F3C65D"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6B22950" w14:textId="000D7E75"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1B51DB85" w14:textId="77777777" w:rsidTr="0069091A">
        <w:trPr>
          <w:cantSplit/>
        </w:trPr>
        <w:tc>
          <w:tcPr>
            <w:tcW w:w="5103" w:type="dxa"/>
            <w:shd w:val="clear" w:color="auto" w:fill="auto"/>
          </w:tcPr>
          <w:p w14:paraId="7B2AE82C" w14:textId="5E7DFE4C" w:rsidR="005160D4" w:rsidRPr="00FA2C83" w:rsidRDefault="00C9190B" w:rsidP="00C9190B">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SW pro zhodnocení DTI mozku a míchy (jak je uvedeno v předchozí kapitole zadání) se zobrazením map FA, RA, VR, barevné směrové mapy jednotlivých traktů</w:t>
            </w:r>
          </w:p>
        </w:tc>
        <w:tc>
          <w:tcPr>
            <w:tcW w:w="1560" w:type="dxa"/>
            <w:shd w:val="clear" w:color="auto" w:fill="auto"/>
            <w:vAlign w:val="center"/>
          </w:tcPr>
          <w:p w14:paraId="3819CC42" w14:textId="20B9097A"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0BDC596" w14:textId="75AD55EB"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7FDA759B" w14:textId="77777777" w:rsidTr="0069091A">
        <w:trPr>
          <w:cantSplit/>
        </w:trPr>
        <w:tc>
          <w:tcPr>
            <w:tcW w:w="5103" w:type="dxa"/>
            <w:shd w:val="clear" w:color="auto" w:fill="auto"/>
          </w:tcPr>
          <w:p w14:paraId="5B13E87A" w14:textId="77777777" w:rsidR="00C9190B" w:rsidRPr="00FA2C83" w:rsidRDefault="00C9190B" w:rsidP="00FA2C83">
            <w:pPr>
              <w:pStyle w:val="Normlnweb"/>
              <w:spacing w:beforeAutospacing="0" w:afterAutospacing="0"/>
              <w:rPr>
                <w:rFonts w:ascii="Calibri" w:hAnsi="Calibri" w:cs="Calibri"/>
                <w:color w:val="000000" w:themeColor="text1"/>
                <w:sz w:val="22"/>
                <w:szCs w:val="22"/>
              </w:rPr>
            </w:pPr>
            <w:r w:rsidRPr="00FA2C83">
              <w:rPr>
                <w:rFonts w:ascii="Calibri" w:hAnsi="Calibri" w:cs="Calibri"/>
                <w:color w:val="000000" w:themeColor="text1"/>
                <w:sz w:val="22"/>
                <w:szCs w:val="22"/>
              </w:rPr>
              <w:t xml:space="preserve">SW pro kvantitativní analýzu dat MR srdce:  </w:t>
            </w:r>
          </w:p>
          <w:p w14:paraId="00A8EBC8" w14:textId="77777777" w:rsidR="00C9190B" w:rsidRPr="00FA2C83" w:rsidRDefault="00C9190B" w:rsidP="00FA2C83">
            <w:pPr>
              <w:pStyle w:val="Normlnweb"/>
              <w:spacing w:beforeAutospacing="0" w:afterAutospacing="0"/>
              <w:rPr>
                <w:rFonts w:ascii="Calibri" w:hAnsi="Calibri" w:cs="Calibri"/>
                <w:color w:val="000000" w:themeColor="text1"/>
                <w:sz w:val="22"/>
                <w:szCs w:val="22"/>
              </w:rPr>
            </w:pPr>
            <w:r w:rsidRPr="00FA2C83">
              <w:rPr>
                <w:rFonts w:ascii="Calibri" w:hAnsi="Calibri" w:cs="Calibri"/>
                <w:color w:val="000000" w:themeColor="text1"/>
                <w:sz w:val="22"/>
                <w:szCs w:val="22"/>
              </w:rPr>
              <w:t>- hodnocení celkové funkce a regionální funkce</w:t>
            </w:r>
          </w:p>
          <w:p w14:paraId="64D8E24B" w14:textId="77777777" w:rsidR="00C9190B" w:rsidRPr="00FA2C83" w:rsidRDefault="00C9190B" w:rsidP="00FA2C83">
            <w:pPr>
              <w:pStyle w:val="Normlnweb"/>
              <w:spacing w:beforeAutospacing="0" w:afterAutospacing="0"/>
              <w:rPr>
                <w:rFonts w:ascii="Calibri" w:hAnsi="Calibri" w:cs="Calibri"/>
                <w:color w:val="000000" w:themeColor="text1"/>
                <w:sz w:val="22"/>
                <w:szCs w:val="22"/>
              </w:rPr>
            </w:pPr>
            <w:r w:rsidRPr="00FA2C83">
              <w:rPr>
                <w:rFonts w:ascii="Calibri" w:hAnsi="Calibri" w:cs="Calibri"/>
                <w:color w:val="000000" w:themeColor="text1"/>
                <w:sz w:val="22"/>
                <w:szCs w:val="22"/>
              </w:rPr>
              <w:t xml:space="preserve">- T1 </w:t>
            </w:r>
            <w:proofErr w:type="spellStart"/>
            <w:r w:rsidRPr="00FA2C83">
              <w:rPr>
                <w:rFonts w:ascii="Calibri" w:hAnsi="Calibri" w:cs="Calibri"/>
                <w:color w:val="000000" w:themeColor="text1"/>
                <w:sz w:val="22"/>
                <w:szCs w:val="22"/>
              </w:rPr>
              <w:t>maping</w:t>
            </w:r>
            <w:proofErr w:type="spellEnd"/>
            <w:r w:rsidRPr="00FA2C83">
              <w:rPr>
                <w:rFonts w:ascii="Calibri" w:hAnsi="Calibri" w:cs="Calibri"/>
                <w:color w:val="000000" w:themeColor="text1"/>
                <w:sz w:val="22"/>
                <w:szCs w:val="22"/>
              </w:rPr>
              <w:t xml:space="preserve">, analýza intenzity </w:t>
            </w:r>
            <w:proofErr w:type="spellStart"/>
            <w:r w:rsidRPr="00FA2C83">
              <w:rPr>
                <w:rFonts w:ascii="Calibri" w:hAnsi="Calibri" w:cs="Calibri"/>
                <w:color w:val="000000" w:themeColor="text1"/>
                <w:sz w:val="22"/>
                <w:szCs w:val="22"/>
              </w:rPr>
              <w:t>opacifikace</w:t>
            </w:r>
            <w:proofErr w:type="spellEnd"/>
          </w:p>
          <w:p w14:paraId="7B0A0032" w14:textId="43C5212F" w:rsidR="005160D4" w:rsidRPr="00FA2C83" w:rsidRDefault="00C9190B" w:rsidP="00FA2C83">
            <w:pPr>
              <w:pStyle w:val="Normlnweb"/>
              <w:spacing w:beforeAutospacing="0" w:afterAutospacing="0"/>
              <w:rPr>
                <w:rFonts w:ascii="Calibri" w:hAnsi="Calibri" w:cs="Calibri"/>
                <w:color w:val="000000" w:themeColor="text1"/>
                <w:sz w:val="20"/>
                <w:szCs w:val="20"/>
              </w:rPr>
            </w:pPr>
            <w:r w:rsidRPr="00FA2C83">
              <w:rPr>
                <w:rFonts w:ascii="Calibri" w:hAnsi="Calibri" w:cs="Calibri"/>
                <w:color w:val="000000" w:themeColor="text1"/>
                <w:sz w:val="22"/>
                <w:szCs w:val="22"/>
              </w:rPr>
              <w:t xml:space="preserve">- analýza objemu a rychlosti kardiovaskulárního toku v   </w:t>
            </w:r>
            <w:r w:rsidRPr="00FA2C83">
              <w:rPr>
                <w:rFonts w:ascii="Calibri" w:hAnsi="Calibri" w:cs="Calibri"/>
                <w:color w:val="000000" w:themeColor="text1"/>
                <w:sz w:val="22"/>
                <w:szCs w:val="22"/>
              </w:rPr>
              <w:br/>
              <w:t xml:space="preserve">  cévách a na srdečních chlopních výpočet EF, EDV, ESV </w:t>
            </w:r>
            <w:r w:rsidRPr="00FA2C83">
              <w:rPr>
                <w:rFonts w:ascii="Calibri" w:hAnsi="Calibri" w:cs="Calibri"/>
                <w:color w:val="000000" w:themeColor="text1"/>
                <w:sz w:val="22"/>
                <w:szCs w:val="22"/>
              </w:rPr>
              <w:br/>
              <w:t xml:space="preserve">  v pravé i levé části srdce</w:t>
            </w:r>
          </w:p>
        </w:tc>
        <w:tc>
          <w:tcPr>
            <w:tcW w:w="1560" w:type="dxa"/>
            <w:shd w:val="clear" w:color="auto" w:fill="auto"/>
            <w:vAlign w:val="center"/>
          </w:tcPr>
          <w:p w14:paraId="49B67C45" w14:textId="15C607FB"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78CA3183" w14:textId="692CDDC1"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0626BE" w14:paraId="1B4C43AC" w14:textId="77777777" w:rsidTr="0069091A">
        <w:trPr>
          <w:cantSplit/>
        </w:trPr>
        <w:tc>
          <w:tcPr>
            <w:tcW w:w="5103" w:type="dxa"/>
            <w:shd w:val="clear" w:color="auto" w:fill="auto"/>
          </w:tcPr>
          <w:p w14:paraId="20993E6A" w14:textId="79FC9682" w:rsidR="000626BE" w:rsidRPr="00FA2C83" w:rsidRDefault="000626BE" w:rsidP="000A46DA">
            <w:pPr>
              <w:rPr>
                <w:rFonts w:ascii="Calibri" w:hAnsi="Calibri" w:cs="Calibri"/>
                <w:color w:val="000000"/>
                <w:sz w:val="22"/>
                <w:szCs w:val="22"/>
              </w:rPr>
            </w:pPr>
            <w:r w:rsidRPr="00FA2C83">
              <w:rPr>
                <w:rFonts w:ascii="Calibri" w:hAnsi="Calibri" w:cs="Calibri"/>
                <w:color w:val="000000"/>
                <w:sz w:val="22"/>
                <w:szCs w:val="22"/>
                <w:shd w:val="clear" w:color="auto" w:fill="FFFFFF"/>
              </w:rPr>
              <w:t xml:space="preserve">Paralelní techniky s </w:t>
            </w:r>
            <w:proofErr w:type="spellStart"/>
            <w:r w:rsidRPr="00FA2C83">
              <w:rPr>
                <w:rFonts w:ascii="Calibri" w:hAnsi="Calibri" w:cs="Calibri"/>
                <w:color w:val="000000"/>
                <w:sz w:val="22"/>
                <w:szCs w:val="22"/>
                <w:shd w:val="clear" w:color="auto" w:fill="FFFFFF"/>
              </w:rPr>
              <w:t>podvzorkováním</w:t>
            </w:r>
            <w:proofErr w:type="spellEnd"/>
            <w:r w:rsidRPr="00FA2C83">
              <w:rPr>
                <w:rFonts w:ascii="Calibri" w:hAnsi="Calibri" w:cs="Calibri"/>
                <w:color w:val="000000"/>
                <w:sz w:val="22"/>
                <w:szCs w:val="22"/>
                <w:shd w:val="clear" w:color="auto" w:fill="FFFFFF"/>
              </w:rPr>
              <w:t xml:space="preserve"> (redukčním faktorem) ve směru fázového kódování ve 2D i 3D, včetně možnosti rozložení </w:t>
            </w:r>
            <w:proofErr w:type="spellStart"/>
            <w:r w:rsidRPr="00FA2C83">
              <w:rPr>
                <w:rFonts w:ascii="Calibri" w:hAnsi="Calibri" w:cs="Calibri"/>
                <w:color w:val="000000"/>
                <w:sz w:val="22"/>
                <w:szCs w:val="22"/>
                <w:shd w:val="clear" w:color="auto" w:fill="FFFFFF"/>
              </w:rPr>
              <w:t>podvzorkování</w:t>
            </w:r>
            <w:proofErr w:type="spellEnd"/>
            <w:r w:rsidRPr="00FA2C83">
              <w:rPr>
                <w:rFonts w:ascii="Calibri" w:hAnsi="Calibri" w:cs="Calibri"/>
                <w:color w:val="000000"/>
                <w:sz w:val="22"/>
                <w:szCs w:val="22"/>
                <w:shd w:val="clear" w:color="auto" w:fill="FFFFFF"/>
              </w:rPr>
              <w:t xml:space="preserve"> proloženým či stochastickým způsobem (např. </w:t>
            </w:r>
            <w:proofErr w:type="spellStart"/>
            <w:r w:rsidRPr="00FA2C83">
              <w:rPr>
                <w:rFonts w:ascii="Calibri" w:hAnsi="Calibri" w:cs="Calibri"/>
                <w:color w:val="000000"/>
                <w:sz w:val="22"/>
                <w:szCs w:val="22"/>
                <w:shd w:val="clear" w:color="auto" w:fill="FFFFFF"/>
              </w:rPr>
              <w:t>Compressed</w:t>
            </w:r>
            <w:proofErr w:type="spellEnd"/>
            <w:r w:rsidRPr="00FA2C83">
              <w:rPr>
                <w:rFonts w:ascii="Calibri" w:hAnsi="Calibri" w:cs="Calibri"/>
                <w:color w:val="000000"/>
                <w:sz w:val="22"/>
                <w:szCs w:val="22"/>
                <w:shd w:val="clear" w:color="auto" w:fill="FFFFFF"/>
              </w:rPr>
              <w:t xml:space="preserve"> </w:t>
            </w:r>
            <w:proofErr w:type="spellStart"/>
            <w:r w:rsidRPr="00FA2C83">
              <w:rPr>
                <w:rFonts w:ascii="Calibri" w:hAnsi="Calibri" w:cs="Calibri"/>
                <w:color w:val="000000"/>
                <w:sz w:val="22"/>
                <w:szCs w:val="22"/>
                <w:shd w:val="clear" w:color="auto" w:fill="FFFFFF"/>
              </w:rPr>
              <w:t>Sensing</w:t>
            </w:r>
            <w:proofErr w:type="spellEnd"/>
            <w:r w:rsidRPr="00FA2C83">
              <w:rPr>
                <w:rFonts w:ascii="Calibri" w:hAnsi="Calibri" w:cs="Calibri"/>
                <w:color w:val="000000"/>
                <w:sz w:val="22"/>
                <w:szCs w:val="22"/>
                <w:shd w:val="clear" w:color="auto" w:fill="FFFFFF"/>
              </w:rPr>
              <w:t xml:space="preserve">, Hyper </w:t>
            </w:r>
            <w:proofErr w:type="spellStart"/>
            <w:r w:rsidRPr="00FA2C83">
              <w:rPr>
                <w:rFonts w:ascii="Calibri" w:hAnsi="Calibri" w:cs="Calibri"/>
                <w:color w:val="000000"/>
                <w:sz w:val="22"/>
                <w:szCs w:val="22"/>
                <w:shd w:val="clear" w:color="auto" w:fill="FFFFFF"/>
              </w:rPr>
              <w:t>Sense</w:t>
            </w:r>
            <w:proofErr w:type="spellEnd"/>
            <w:r w:rsidRPr="00FA2C83">
              <w:rPr>
                <w:rFonts w:ascii="Calibri" w:hAnsi="Calibri" w:cs="Calibri"/>
                <w:color w:val="000000"/>
                <w:sz w:val="22"/>
                <w:szCs w:val="22"/>
                <w:shd w:val="clear" w:color="auto" w:fill="FFFFFF"/>
              </w:rPr>
              <w:t xml:space="preserve"> nebo stejná technika).</w:t>
            </w:r>
          </w:p>
        </w:tc>
        <w:tc>
          <w:tcPr>
            <w:tcW w:w="1560" w:type="dxa"/>
            <w:shd w:val="clear" w:color="auto" w:fill="auto"/>
            <w:vAlign w:val="center"/>
          </w:tcPr>
          <w:p w14:paraId="31FC3A2E" w14:textId="0A00BFFF" w:rsidR="000626BE" w:rsidRPr="0069091A" w:rsidRDefault="000626BE" w:rsidP="000626BE">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3450D01A" w14:textId="59D243F8" w:rsidR="000626BE" w:rsidRPr="0069091A" w:rsidRDefault="000626BE" w:rsidP="000626BE">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5160D4" w14:paraId="0CBF7C3E" w14:textId="77777777" w:rsidTr="0069091A">
        <w:trPr>
          <w:cantSplit/>
        </w:trPr>
        <w:tc>
          <w:tcPr>
            <w:tcW w:w="5103" w:type="dxa"/>
            <w:shd w:val="clear" w:color="auto" w:fill="auto"/>
          </w:tcPr>
          <w:p w14:paraId="38998718" w14:textId="64DFF2D6" w:rsidR="005160D4" w:rsidRPr="00FA2C83" w:rsidRDefault="00C9190B" w:rsidP="00C9190B">
            <w:pPr>
              <w:pStyle w:val="Normlnweb"/>
              <w:spacing w:after="120"/>
              <w:rPr>
                <w:rFonts w:ascii="Calibri" w:hAnsi="Calibri" w:cs="Calibri"/>
                <w:sz w:val="22"/>
                <w:szCs w:val="22"/>
              </w:rPr>
            </w:pPr>
            <w:r w:rsidRPr="00FA2C83">
              <w:rPr>
                <w:rFonts w:ascii="Calibri" w:hAnsi="Calibri" w:cs="Calibri"/>
                <w:color w:val="000000" w:themeColor="text1"/>
                <w:sz w:val="22"/>
                <w:szCs w:val="22"/>
              </w:rPr>
              <w:t>Připojení a začlenění serveru do stávající sítě nemocnice dle požadavku ICT oddělení s možností využití stávajících popisovacích stanic na RDG oddělení</w:t>
            </w:r>
          </w:p>
        </w:tc>
        <w:tc>
          <w:tcPr>
            <w:tcW w:w="1560" w:type="dxa"/>
            <w:shd w:val="clear" w:color="auto" w:fill="auto"/>
            <w:vAlign w:val="center"/>
          </w:tcPr>
          <w:p w14:paraId="74E074A3" w14:textId="79443071"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1E79802" w14:textId="48035E81" w:rsidR="005160D4" w:rsidRPr="0069091A" w:rsidRDefault="005160D4"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94C79" w14:paraId="0217CA97" w14:textId="77777777" w:rsidTr="0069091A">
        <w:trPr>
          <w:cantSplit/>
        </w:trPr>
        <w:tc>
          <w:tcPr>
            <w:tcW w:w="5103" w:type="dxa"/>
            <w:shd w:val="clear" w:color="auto" w:fill="auto"/>
          </w:tcPr>
          <w:p w14:paraId="24ECBE6B" w14:textId="2F882DCB" w:rsidR="00C94C79" w:rsidRPr="00FA2C83" w:rsidRDefault="00C94C79" w:rsidP="00C9190B">
            <w:pPr>
              <w:pStyle w:val="Normlnweb"/>
              <w:spacing w:after="120"/>
              <w:rPr>
                <w:rFonts w:ascii="Calibri" w:hAnsi="Calibri" w:cs="Calibri"/>
                <w:color w:val="000000" w:themeColor="text1"/>
                <w:sz w:val="22"/>
                <w:szCs w:val="22"/>
              </w:rPr>
            </w:pPr>
            <w:r w:rsidRPr="00FA2C83">
              <w:rPr>
                <w:rFonts w:ascii="Calibri" w:hAnsi="Calibri" w:cs="Calibri"/>
                <w:b/>
                <w:bCs/>
                <w:color w:val="000000" w:themeColor="text1"/>
                <w:sz w:val="22"/>
                <w:szCs w:val="22"/>
              </w:rPr>
              <w:t>ICT požadavky na server</w:t>
            </w:r>
          </w:p>
        </w:tc>
        <w:tc>
          <w:tcPr>
            <w:tcW w:w="1560" w:type="dxa"/>
            <w:shd w:val="clear" w:color="auto" w:fill="auto"/>
            <w:vAlign w:val="center"/>
          </w:tcPr>
          <w:p w14:paraId="2951CE1D" w14:textId="77777777" w:rsidR="00C94C79" w:rsidRPr="0069091A" w:rsidRDefault="00C94C79" w:rsidP="005160D4">
            <w:pPr>
              <w:jc w:val="center"/>
              <w:rPr>
                <w:rFonts w:ascii="Calibri" w:hAnsi="Calibri" w:cs="Calibri"/>
                <w:color w:val="FF0000"/>
                <w:sz w:val="22"/>
                <w:szCs w:val="22"/>
              </w:rPr>
            </w:pPr>
          </w:p>
        </w:tc>
        <w:tc>
          <w:tcPr>
            <w:tcW w:w="2970" w:type="dxa"/>
            <w:shd w:val="clear" w:color="auto" w:fill="auto"/>
            <w:vAlign w:val="center"/>
          </w:tcPr>
          <w:p w14:paraId="425CEDB3" w14:textId="77777777" w:rsidR="00C94C79" w:rsidRPr="0069091A" w:rsidRDefault="00C94C79" w:rsidP="005160D4">
            <w:pPr>
              <w:jc w:val="center"/>
              <w:rPr>
                <w:rFonts w:ascii="Calibri" w:hAnsi="Calibri" w:cs="Calibri"/>
                <w:color w:val="FF0000"/>
                <w:sz w:val="22"/>
                <w:szCs w:val="22"/>
              </w:rPr>
            </w:pPr>
          </w:p>
        </w:tc>
      </w:tr>
      <w:tr w:rsidR="00C94C79" w14:paraId="732E8F53" w14:textId="77777777" w:rsidTr="0069091A">
        <w:trPr>
          <w:cantSplit/>
        </w:trPr>
        <w:tc>
          <w:tcPr>
            <w:tcW w:w="5103" w:type="dxa"/>
            <w:shd w:val="clear" w:color="auto" w:fill="auto"/>
          </w:tcPr>
          <w:p w14:paraId="64443632" w14:textId="77777777" w:rsidR="00CA3313" w:rsidRPr="00FA2C83" w:rsidRDefault="00CA3313" w:rsidP="00CA3313">
            <w:pPr>
              <w:rPr>
                <w:rFonts w:ascii="Calibri" w:hAnsi="Calibri" w:cs="Calibri"/>
                <w:color w:val="000000" w:themeColor="text1"/>
                <w:sz w:val="22"/>
                <w:szCs w:val="22"/>
                <w:lang w:eastAsia="en-US"/>
              </w:rPr>
            </w:pPr>
            <w:r w:rsidRPr="00FA2C83">
              <w:rPr>
                <w:rFonts w:ascii="Calibri" w:hAnsi="Calibri" w:cs="Calibri"/>
                <w:color w:val="000000" w:themeColor="text1"/>
                <w:sz w:val="22"/>
                <w:szCs w:val="22"/>
                <w:lang w:eastAsia="en-US"/>
              </w:rPr>
              <w:t>Serverové řešení bude splňovat minimálně tyto HW parametry:</w:t>
            </w:r>
          </w:p>
          <w:p w14:paraId="27DFFD93" w14:textId="77777777" w:rsidR="00CA3313" w:rsidRPr="00FA2C83" w:rsidRDefault="00CA3313" w:rsidP="00CA3313">
            <w:pPr>
              <w:pStyle w:val="Odstavecseseznamem"/>
              <w:numPr>
                <w:ilvl w:val="0"/>
                <w:numId w:val="4"/>
              </w:numPr>
              <w:rPr>
                <w:rFonts w:ascii="Calibri" w:hAnsi="Calibri" w:cs="Calibri"/>
                <w:color w:val="000000" w:themeColor="text1"/>
                <w:sz w:val="22"/>
                <w:szCs w:val="22"/>
                <w:lang w:eastAsia="en-US"/>
              </w:rPr>
            </w:pPr>
            <w:r w:rsidRPr="00FA2C83">
              <w:rPr>
                <w:rFonts w:ascii="Calibri" w:hAnsi="Calibri" w:cs="Calibri"/>
                <w:color w:val="000000" w:themeColor="text1"/>
                <w:sz w:val="22"/>
                <w:szCs w:val="22"/>
                <w:lang w:eastAsia="en-US"/>
              </w:rPr>
              <w:t>Provedení pro montáž do 19“ racku</w:t>
            </w:r>
          </w:p>
          <w:p w14:paraId="570FA8F9" w14:textId="77777777" w:rsidR="00CA3313" w:rsidRPr="00FA2C83" w:rsidRDefault="00CA3313" w:rsidP="00CA3313">
            <w:pPr>
              <w:pStyle w:val="Odstavecseseznamem"/>
              <w:numPr>
                <w:ilvl w:val="0"/>
                <w:numId w:val="4"/>
              </w:numPr>
              <w:rPr>
                <w:rFonts w:ascii="Calibri" w:hAnsi="Calibri" w:cs="Calibri"/>
                <w:color w:val="000000" w:themeColor="text1"/>
                <w:sz w:val="22"/>
                <w:szCs w:val="22"/>
                <w:lang w:eastAsia="en-US"/>
              </w:rPr>
            </w:pPr>
            <w:r w:rsidRPr="00FA2C83">
              <w:rPr>
                <w:rFonts w:ascii="Calibri" w:hAnsi="Calibri" w:cs="Calibri"/>
                <w:color w:val="000000" w:themeColor="text1"/>
                <w:sz w:val="22"/>
                <w:szCs w:val="22"/>
                <w:lang w:eastAsia="en-US"/>
              </w:rPr>
              <w:t>Osazen min. 2 portovou SFP+ kartou včetně originálních SFP+ MM modulů. Součástí i 2ks 3m LC-LC MM kabel</w:t>
            </w:r>
          </w:p>
          <w:p w14:paraId="3BBE497F" w14:textId="209D3B56" w:rsidR="00C94C79" w:rsidRPr="00FA2C83" w:rsidRDefault="00CA3313" w:rsidP="00CA3313">
            <w:pPr>
              <w:pStyle w:val="Odstavecseseznamem"/>
              <w:numPr>
                <w:ilvl w:val="0"/>
                <w:numId w:val="4"/>
              </w:numPr>
              <w:rPr>
                <w:rFonts w:ascii="Calibri" w:hAnsi="Calibri" w:cs="Calibri"/>
                <w:color w:val="000000" w:themeColor="text1"/>
                <w:sz w:val="22"/>
                <w:szCs w:val="22"/>
                <w:lang w:eastAsia="en-US"/>
              </w:rPr>
            </w:pPr>
            <w:r w:rsidRPr="00FA2C83">
              <w:rPr>
                <w:rFonts w:ascii="Calibri" w:hAnsi="Calibri" w:cs="Calibri"/>
                <w:color w:val="000000" w:themeColor="text1"/>
                <w:sz w:val="22"/>
                <w:szCs w:val="22"/>
                <w:lang w:eastAsia="en-US"/>
              </w:rPr>
              <w:t>Osazení 2ks napájecích zdrojů dle specifikace 80+</w:t>
            </w:r>
          </w:p>
        </w:tc>
        <w:tc>
          <w:tcPr>
            <w:tcW w:w="1560" w:type="dxa"/>
            <w:shd w:val="clear" w:color="auto" w:fill="auto"/>
            <w:vAlign w:val="center"/>
          </w:tcPr>
          <w:p w14:paraId="0E16566C" w14:textId="5CDB92C3" w:rsidR="00C94C79" w:rsidRPr="0069091A" w:rsidRDefault="00C94C79"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09FE1314" w14:textId="6E9A1B41" w:rsidR="00C94C79" w:rsidRPr="0069091A" w:rsidRDefault="00C94C79"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94C79" w14:paraId="3623DFEF" w14:textId="77777777" w:rsidTr="0069091A">
        <w:trPr>
          <w:cantSplit/>
        </w:trPr>
        <w:tc>
          <w:tcPr>
            <w:tcW w:w="5103" w:type="dxa"/>
            <w:shd w:val="clear" w:color="auto" w:fill="auto"/>
          </w:tcPr>
          <w:p w14:paraId="30277C05" w14:textId="77777777" w:rsidR="00CA3313" w:rsidRPr="00FA2C83" w:rsidRDefault="00CA3313" w:rsidP="00CA3313">
            <w:pPr>
              <w:pStyle w:val="Odstavecseseznamem"/>
              <w:numPr>
                <w:ilvl w:val="0"/>
                <w:numId w:val="4"/>
              </w:numPr>
              <w:rPr>
                <w:rFonts w:ascii="Calibri" w:hAnsi="Calibri" w:cs="Calibri"/>
                <w:color w:val="000000" w:themeColor="text1"/>
                <w:sz w:val="22"/>
                <w:szCs w:val="22"/>
              </w:rPr>
            </w:pPr>
            <w:r w:rsidRPr="00FA2C83">
              <w:rPr>
                <w:rFonts w:ascii="Calibri" w:hAnsi="Calibri" w:cs="Calibri"/>
                <w:color w:val="000000" w:themeColor="text1"/>
                <w:sz w:val="22"/>
                <w:szCs w:val="22"/>
              </w:rPr>
              <w:lastRenderedPageBreak/>
              <w:t>Interní úložiště min. v RAID1 pro instalaci operačního systému</w:t>
            </w:r>
          </w:p>
          <w:p w14:paraId="75CD8FC7" w14:textId="7E6445F2" w:rsidR="00CA3313" w:rsidRPr="00FA2C83" w:rsidRDefault="00CA3313" w:rsidP="00CA3313">
            <w:pPr>
              <w:pStyle w:val="Odstavecseseznamem"/>
              <w:numPr>
                <w:ilvl w:val="0"/>
                <w:numId w:val="4"/>
              </w:numPr>
              <w:rPr>
                <w:rFonts w:ascii="Calibri" w:hAnsi="Calibri" w:cs="Calibri"/>
                <w:color w:val="000000" w:themeColor="text1"/>
                <w:sz w:val="22"/>
                <w:szCs w:val="22"/>
              </w:rPr>
            </w:pPr>
            <w:r w:rsidRPr="00FA2C83">
              <w:rPr>
                <w:rFonts w:ascii="Calibri" w:hAnsi="Calibri" w:cs="Calibri"/>
                <w:color w:val="000000" w:themeColor="text1"/>
                <w:sz w:val="22"/>
                <w:szCs w:val="22"/>
              </w:rPr>
              <w:t>Interní úložiště min. s HW RAID5 prostorem pro uložení minimálně 1 roku rekonstruovaných dat</w:t>
            </w:r>
          </w:p>
          <w:p w14:paraId="3A474DFF" w14:textId="6A11AC78" w:rsidR="00C94C79" w:rsidRPr="00FA2C83" w:rsidRDefault="00CA3313" w:rsidP="00CA3313">
            <w:pPr>
              <w:pStyle w:val="Normlnweb"/>
              <w:spacing w:after="120"/>
              <w:rPr>
                <w:rFonts w:ascii="Calibri" w:hAnsi="Calibri" w:cs="Calibri"/>
                <w:color w:val="000000" w:themeColor="text1"/>
                <w:sz w:val="20"/>
                <w:szCs w:val="20"/>
              </w:rPr>
            </w:pPr>
            <w:r w:rsidRPr="00FA2C83">
              <w:rPr>
                <w:rFonts w:ascii="Calibri" w:hAnsi="Calibri" w:cs="Calibri"/>
                <w:b/>
                <w:sz w:val="20"/>
                <w:szCs w:val="20"/>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FA2C83">
              <w:rPr>
                <w:rFonts w:ascii="Calibri" w:hAnsi="Calibri" w:cs="Calibri"/>
                <w:b/>
                <w:bCs/>
                <w:sz w:val="20"/>
                <w:szCs w:val="20"/>
              </w:rPr>
              <w:t>v souladu s § 89 odst. 6 zákona možné nabídnout i jiné, rovnocenné řešení</w:t>
            </w:r>
          </w:p>
        </w:tc>
        <w:tc>
          <w:tcPr>
            <w:tcW w:w="1560" w:type="dxa"/>
            <w:shd w:val="clear" w:color="auto" w:fill="auto"/>
            <w:vAlign w:val="center"/>
          </w:tcPr>
          <w:p w14:paraId="5C881025" w14:textId="5A1F54A8" w:rsidR="00C94C79" w:rsidRPr="0069091A" w:rsidRDefault="00E003FD"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AE0337B" w14:textId="7EFF871F" w:rsidR="00C94C79" w:rsidRPr="0069091A" w:rsidRDefault="00E003FD" w:rsidP="005160D4">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7AC31756" w14:textId="77777777" w:rsidTr="0069091A">
        <w:trPr>
          <w:cantSplit/>
        </w:trPr>
        <w:tc>
          <w:tcPr>
            <w:tcW w:w="5103" w:type="dxa"/>
            <w:shd w:val="clear" w:color="auto" w:fill="auto"/>
          </w:tcPr>
          <w:p w14:paraId="0F7B7D13" w14:textId="77777777" w:rsidR="00CA3313" w:rsidRPr="00FA2C83" w:rsidRDefault="00CA3313" w:rsidP="00CA3313">
            <w:pPr>
              <w:rPr>
                <w:rFonts w:ascii="Calibri" w:hAnsi="Calibri" w:cs="Calibri"/>
                <w:color w:val="000000" w:themeColor="text1"/>
                <w:sz w:val="22"/>
                <w:szCs w:val="22"/>
              </w:rPr>
            </w:pPr>
            <w:r w:rsidRPr="00FA2C83">
              <w:rPr>
                <w:rFonts w:ascii="Calibri" w:hAnsi="Calibri" w:cs="Calibri"/>
                <w:color w:val="000000" w:themeColor="text1"/>
                <w:sz w:val="22"/>
                <w:szCs w:val="22"/>
              </w:rPr>
              <w:t>Serverové řešení bude splňovat minimálně tyto SW parametry:</w:t>
            </w:r>
          </w:p>
          <w:p w14:paraId="06B00FE4" w14:textId="16638A6D" w:rsidR="00CA3313" w:rsidRPr="00FA2C83" w:rsidRDefault="00CA3313" w:rsidP="00CA3313">
            <w:pPr>
              <w:rPr>
                <w:rFonts w:ascii="Calibri" w:hAnsi="Calibri" w:cs="Calibri"/>
                <w:color w:val="000000" w:themeColor="text1"/>
                <w:sz w:val="22"/>
                <w:szCs w:val="22"/>
              </w:rPr>
            </w:pPr>
            <w:r w:rsidRPr="00FA2C83">
              <w:rPr>
                <w:rFonts w:ascii="Calibri" w:hAnsi="Calibri" w:cs="Calibri"/>
                <w:color w:val="000000" w:themeColor="text1"/>
                <w:sz w:val="22"/>
                <w:szCs w:val="22"/>
              </w:rPr>
              <w:t>Serverové řešení bude po dobu platnosti servisní smlouvy pod plnou podporou dodavatele včetně aktualizací SW, podpory HW a správou dodávaného řešení.</w:t>
            </w:r>
          </w:p>
        </w:tc>
        <w:tc>
          <w:tcPr>
            <w:tcW w:w="1560" w:type="dxa"/>
            <w:shd w:val="clear" w:color="auto" w:fill="auto"/>
            <w:vAlign w:val="center"/>
          </w:tcPr>
          <w:p w14:paraId="2B5E5ABF" w14:textId="216F8EAA"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DCC1EB6" w14:textId="7C167673"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2A970409" w14:textId="77777777" w:rsidTr="00D46083">
        <w:trPr>
          <w:cantSplit/>
        </w:trPr>
        <w:tc>
          <w:tcPr>
            <w:tcW w:w="5103" w:type="dxa"/>
            <w:shd w:val="clear" w:color="auto" w:fill="auto"/>
            <w:vAlign w:val="center"/>
          </w:tcPr>
          <w:p w14:paraId="5C81FED5" w14:textId="5D765135"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b/>
                <w:bCs/>
                <w:color w:val="000000" w:themeColor="text1"/>
                <w:sz w:val="22"/>
                <w:szCs w:val="22"/>
              </w:rPr>
              <w:t>Další součásti dodávky</w:t>
            </w:r>
          </w:p>
        </w:tc>
        <w:tc>
          <w:tcPr>
            <w:tcW w:w="1560" w:type="dxa"/>
            <w:shd w:val="clear" w:color="auto" w:fill="auto"/>
            <w:vAlign w:val="center"/>
          </w:tcPr>
          <w:p w14:paraId="021A2A9E" w14:textId="77777777" w:rsidR="00CA3313" w:rsidRPr="0069091A" w:rsidRDefault="00CA3313" w:rsidP="00CA3313">
            <w:pPr>
              <w:jc w:val="center"/>
              <w:rPr>
                <w:rFonts w:ascii="Calibri" w:hAnsi="Calibri" w:cs="Calibri"/>
                <w:color w:val="FF0000"/>
                <w:sz w:val="22"/>
                <w:szCs w:val="22"/>
              </w:rPr>
            </w:pPr>
          </w:p>
        </w:tc>
        <w:tc>
          <w:tcPr>
            <w:tcW w:w="2970" w:type="dxa"/>
            <w:shd w:val="clear" w:color="auto" w:fill="auto"/>
            <w:vAlign w:val="center"/>
          </w:tcPr>
          <w:p w14:paraId="40E19ED4" w14:textId="77777777" w:rsidR="00CA3313" w:rsidRPr="0069091A" w:rsidRDefault="00CA3313" w:rsidP="00CA3313">
            <w:pPr>
              <w:jc w:val="center"/>
              <w:rPr>
                <w:rFonts w:ascii="Calibri" w:hAnsi="Calibri" w:cs="Calibri"/>
                <w:color w:val="FF0000"/>
                <w:sz w:val="22"/>
                <w:szCs w:val="22"/>
              </w:rPr>
            </w:pPr>
          </w:p>
        </w:tc>
      </w:tr>
      <w:tr w:rsidR="00CA3313" w14:paraId="2F352085" w14:textId="77777777" w:rsidTr="00D46083">
        <w:trPr>
          <w:cantSplit/>
        </w:trPr>
        <w:tc>
          <w:tcPr>
            <w:tcW w:w="5103" w:type="dxa"/>
            <w:shd w:val="clear" w:color="auto" w:fill="auto"/>
            <w:vAlign w:val="center"/>
          </w:tcPr>
          <w:p w14:paraId="0336FF08" w14:textId="40FFC4DC"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Faradayova klec</w:t>
            </w:r>
          </w:p>
        </w:tc>
        <w:tc>
          <w:tcPr>
            <w:tcW w:w="1560" w:type="dxa"/>
            <w:shd w:val="clear" w:color="auto" w:fill="auto"/>
            <w:vAlign w:val="center"/>
          </w:tcPr>
          <w:p w14:paraId="6FE27C91" w14:textId="111A831D"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ED1BC64" w14:textId="61B71689"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64DFBCF3" w14:textId="77777777" w:rsidTr="00D46083">
        <w:trPr>
          <w:cantSplit/>
        </w:trPr>
        <w:tc>
          <w:tcPr>
            <w:tcW w:w="5103" w:type="dxa"/>
            <w:shd w:val="clear" w:color="auto" w:fill="auto"/>
            <w:vAlign w:val="center"/>
          </w:tcPr>
          <w:p w14:paraId="06260197" w14:textId="6B06CAF6"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monitorovací kamerový systém pro sledování pacienta</w:t>
            </w:r>
          </w:p>
        </w:tc>
        <w:tc>
          <w:tcPr>
            <w:tcW w:w="1560" w:type="dxa"/>
            <w:shd w:val="clear" w:color="auto" w:fill="auto"/>
            <w:vAlign w:val="center"/>
          </w:tcPr>
          <w:p w14:paraId="7B17B4A0" w14:textId="412497EC"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577955DC" w14:textId="47E864A1"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009FCA50" w14:textId="77777777" w:rsidTr="00D46083">
        <w:trPr>
          <w:cantSplit/>
        </w:trPr>
        <w:tc>
          <w:tcPr>
            <w:tcW w:w="5103" w:type="dxa"/>
            <w:shd w:val="clear" w:color="auto" w:fill="auto"/>
            <w:vAlign w:val="center"/>
          </w:tcPr>
          <w:p w14:paraId="56E6CD3A" w14:textId="47C3A983" w:rsidR="00CA3313" w:rsidRPr="00FA2C83" w:rsidRDefault="00CA3313" w:rsidP="00FC1E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nemagnetické transportní lůžko a vozík</w:t>
            </w:r>
          </w:p>
        </w:tc>
        <w:tc>
          <w:tcPr>
            <w:tcW w:w="1560" w:type="dxa"/>
            <w:shd w:val="clear" w:color="auto" w:fill="auto"/>
            <w:vAlign w:val="center"/>
          </w:tcPr>
          <w:p w14:paraId="6F5BFE23" w14:textId="33E50EE7"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37317D46" w14:textId="39694CAE"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46321A8C" w14:textId="77777777" w:rsidTr="00D46083">
        <w:trPr>
          <w:cantSplit/>
        </w:trPr>
        <w:tc>
          <w:tcPr>
            <w:tcW w:w="5103" w:type="dxa"/>
            <w:shd w:val="clear" w:color="auto" w:fill="auto"/>
            <w:vAlign w:val="center"/>
          </w:tcPr>
          <w:p w14:paraId="38828B22" w14:textId="18AC0E54"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síťový a technologický rozvaděč pro MR</w:t>
            </w:r>
          </w:p>
        </w:tc>
        <w:tc>
          <w:tcPr>
            <w:tcW w:w="1560" w:type="dxa"/>
            <w:shd w:val="clear" w:color="auto" w:fill="auto"/>
            <w:vAlign w:val="center"/>
          </w:tcPr>
          <w:p w14:paraId="032066C8" w14:textId="75798969"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0D13A874" w14:textId="17AF8109"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210D7130" w14:textId="77777777" w:rsidTr="00D46083">
        <w:trPr>
          <w:cantSplit/>
        </w:trPr>
        <w:tc>
          <w:tcPr>
            <w:tcW w:w="5103" w:type="dxa"/>
            <w:shd w:val="clear" w:color="auto" w:fill="auto"/>
            <w:vAlign w:val="center"/>
          </w:tcPr>
          <w:p w14:paraId="2F63207C" w14:textId="63FD32C7"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pulzní </w:t>
            </w:r>
            <w:proofErr w:type="spellStart"/>
            <w:r w:rsidRPr="00FA2C83">
              <w:rPr>
                <w:rFonts w:ascii="Calibri" w:hAnsi="Calibri" w:cs="Calibri"/>
                <w:color w:val="000000" w:themeColor="text1"/>
                <w:sz w:val="22"/>
                <w:szCs w:val="22"/>
              </w:rPr>
              <w:t>oxymetr</w:t>
            </w:r>
            <w:proofErr w:type="spellEnd"/>
            <w:r w:rsidRPr="00FA2C83">
              <w:rPr>
                <w:rFonts w:ascii="Calibri" w:hAnsi="Calibri" w:cs="Calibri"/>
                <w:color w:val="000000" w:themeColor="text1"/>
                <w:sz w:val="22"/>
                <w:szCs w:val="22"/>
              </w:rPr>
              <w:t xml:space="preserve"> v MR kompatibilním provedení s displejem v </w:t>
            </w:r>
            <w:proofErr w:type="spellStart"/>
            <w:r w:rsidRPr="00FA2C83">
              <w:rPr>
                <w:rFonts w:ascii="Calibri" w:hAnsi="Calibri" w:cs="Calibri"/>
                <w:color w:val="000000" w:themeColor="text1"/>
                <w:sz w:val="22"/>
                <w:szCs w:val="22"/>
              </w:rPr>
              <w:t>ovladovně</w:t>
            </w:r>
            <w:proofErr w:type="spellEnd"/>
          </w:p>
        </w:tc>
        <w:tc>
          <w:tcPr>
            <w:tcW w:w="1560" w:type="dxa"/>
            <w:shd w:val="clear" w:color="auto" w:fill="auto"/>
            <w:vAlign w:val="center"/>
          </w:tcPr>
          <w:p w14:paraId="08E21243" w14:textId="529964A6"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63E34651" w14:textId="42F5F73C"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35B48F99" w14:textId="77777777" w:rsidTr="00D46083">
        <w:trPr>
          <w:cantSplit/>
        </w:trPr>
        <w:tc>
          <w:tcPr>
            <w:tcW w:w="5103" w:type="dxa"/>
            <w:shd w:val="clear" w:color="auto" w:fill="auto"/>
            <w:vAlign w:val="center"/>
          </w:tcPr>
          <w:p w14:paraId="78D261D3" w14:textId="77FB015B"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chlazení technologie, tj. </w:t>
            </w:r>
            <w:proofErr w:type="spellStart"/>
            <w:r w:rsidRPr="00FA2C83">
              <w:rPr>
                <w:rFonts w:ascii="Calibri" w:hAnsi="Calibri" w:cs="Calibri"/>
                <w:color w:val="000000" w:themeColor="text1"/>
                <w:sz w:val="22"/>
                <w:szCs w:val="22"/>
              </w:rPr>
              <w:t>Chiller</w:t>
            </w:r>
            <w:proofErr w:type="spellEnd"/>
            <w:r w:rsidRPr="00FA2C83">
              <w:rPr>
                <w:rFonts w:ascii="Calibri" w:hAnsi="Calibri" w:cs="Calibri"/>
                <w:color w:val="000000" w:themeColor="text1"/>
                <w:sz w:val="22"/>
                <w:szCs w:val="22"/>
              </w:rPr>
              <w:t xml:space="preserve"> s technologii free </w:t>
            </w:r>
            <w:proofErr w:type="spellStart"/>
            <w:r w:rsidRPr="00FA2C83">
              <w:rPr>
                <w:rFonts w:ascii="Calibri" w:hAnsi="Calibri" w:cs="Calibri"/>
                <w:color w:val="000000" w:themeColor="text1"/>
                <w:sz w:val="22"/>
                <w:szCs w:val="22"/>
              </w:rPr>
              <w:t>cooling</w:t>
            </w:r>
            <w:proofErr w:type="spellEnd"/>
            <w:r w:rsidRPr="00FA2C83">
              <w:rPr>
                <w:rFonts w:ascii="Calibri" w:hAnsi="Calibri" w:cs="Calibri"/>
                <w:color w:val="000000" w:themeColor="text1"/>
                <w:sz w:val="22"/>
                <w:szCs w:val="22"/>
              </w:rPr>
              <w:t xml:space="preserve">, včetně rozvodů a </w:t>
            </w:r>
            <w:proofErr w:type="spellStart"/>
            <w:r w:rsidRPr="00FA2C83">
              <w:rPr>
                <w:rFonts w:ascii="Calibri" w:hAnsi="Calibri" w:cs="Calibri"/>
                <w:color w:val="000000" w:themeColor="text1"/>
                <w:sz w:val="22"/>
                <w:szCs w:val="22"/>
              </w:rPr>
              <w:t>MaR</w:t>
            </w:r>
            <w:proofErr w:type="spellEnd"/>
            <w:r w:rsidRPr="00FA2C83">
              <w:rPr>
                <w:rFonts w:ascii="Calibri" w:hAnsi="Calibri" w:cs="Calibri"/>
                <w:color w:val="000000" w:themeColor="text1"/>
                <w:sz w:val="22"/>
                <w:szCs w:val="22"/>
              </w:rPr>
              <w:t xml:space="preserve"> systému pro havarijní chlazení</w:t>
            </w:r>
          </w:p>
          <w:p w14:paraId="39FFE55F" w14:textId="77777777"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Zařízení musí po celou dobu svého provozu (maximální tzn. nejhlučnější provoz), splňovat předepsanou hladinu hluku pro denní a noční dobu (dle NV č.272/2011 Sb.).</w:t>
            </w:r>
          </w:p>
          <w:p w14:paraId="496222AE" w14:textId="5EAC91E1" w:rsidR="00CA3313" w:rsidRPr="00FA2C83" w:rsidRDefault="00CA3313" w:rsidP="00CA3313">
            <w:pPr>
              <w:pStyle w:val="Normlnweb"/>
              <w:spacing w:after="120"/>
              <w:rPr>
                <w:rFonts w:ascii="Calibri" w:hAnsi="Calibri" w:cs="Calibri"/>
                <w:color w:val="000000" w:themeColor="text1"/>
                <w:sz w:val="22"/>
                <w:szCs w:val="22"/>
              </w:rPr>
            </w:pPr>
            <w:r w:rsidRPr="00FA2C83">
              <w:rPr>
                <w:rFonts w:ascii="Calibri" w:hAnsi="Calibri" w:cs="Calibri"/>
                <w:color w:val="000000" w:themeColor="text1"/>
                <w:sz w:val="22"/>
                <w:szCs w:val="22"/>
              </w:rPr>
              <w:t xml:space="preserve">Denní limit 45 L </w:t>
            </w:r>
            <w:proofErr w:type="spellStart"/>
            <w:r w:rsidRPr="00FA2C83">
              <w:rPr>
                <w:rFonts w:ascii="Calibri" w:hAnsi="Calibri" w:cs="Calibri"/>
                <w:color w:val="000000" w:themeColor="text1"/>
                <w:sz w:val="22"/>
                <w:szCs w:val="22"/>
              </w:rPr>
              <w:t>Aeq,T</w:t>
            </w:r>
            <w:proofErr w:type="spellEnd"/>
            <w:r w:rsidRPr="00FA2C83">
              <w:rPr>
                <w:rFonts w:ascii="Calibri" w:hAnsi="Calibri" w:cs="Calibri"/>
                <w:color w:val="000000" w:themeColor="text1"/>
                <w:sz w:val="22"/>
                <w:szCs w:val="22"/>
              </w:rPr>
              <w:t xml:space="preserve"> [dB]</w:t>
            </w:r>
            <w:r w:rsidRPr="00FA2C83">
              <w:rPr>
                <w:rFonts w:ascii="Calibri" w:hAnsi="Calibri" w:cs="Calibri"/>
                <w:color w:val="000000" w:themeColor="text1"/>
                <w:sz w:val="22"/>
                <w:szCs w:val="22"/>
              </w:rPr>
              <w:br/>
              <w:t xml:space="preserve">Noční limit 35 L </w:t>
            </w:r>
            <w:proofErr w:type="spellStart"/>
            <w:r w:rsidRPr="00FA2C83">
              <w:rPr>
                <w:rFonts w:ascii="Calibri" w:hAnsi="Calibri" w:cs="Calibri"/>
                <w:color w:val="000000" w:themeColor="text1"/>
                <w:sz w:val="22"/>
                <w:szCs w:val="22"/>
              </w:rPr>
              <w:t>Aeq,T</w:t>
            </w:r>
            <w:proofErr w:type="spellEnd"/>
            <w:r w:rsidRPr="00FA2C83">
              <w:rPr>
                <w:rFonts w:ascii="Calibri" w:hAnsi="Calibri" w:cs="Calibri"/>
                <w:color w:val="000000" w:themeColor="text1"/>
                <w:sz w:val="22"/>
                <w:szCs w:val="22"/>
              </w:rPr>
              <w:t xml:space="preserve"> [dB]</w:t>
            </w:r>
          </w:p>
          <w:p w14:paraId="4A1DC167" w14:textId="54D93C69" w:rsidR="00CA3313" w:rsidRPr="00FA2C83" w:rsidRDefault="00CA3313" w:rsidP="00CA3313">
            <w:pPr>
              <w:pStyle w:val="Normlnweb"/>
              <w:spacing w:after="120"/>
              <w:rPr>
                <w:rFonts w:cstheme="minorHAnsi"/>
                <w:sz w:val="22"/>
                <w:szCs w:val="22"/>
              </w:rPr>
            </w:pPr>
            <w:r w:rsidRPr="00FA2C83">
              <w:rPr>
                <w:rFonts w:ascii="Calibri" w:hAnsi="Calibri" w:cs="Calibri"/>
                <w:color w:val="000000" w:themeColor="text1"/>
                <w:sz w:val="22"/>
                <w:szCs w:val="22"/>
              </w:rPr>
              <w:t>Chlazení bude umístěno ve stávajícím ohraničeném prostoru na střeše objektu. Tento prostor není zastřešen.</w:t>
            </w:r>
          </w:p>
        </w:tc>
        <w:tc>
          <w:tcPr>
            <w:tcW w:w="1560" w:type="dxa"/>
            <w:shd w:val="clear" w:color="auto" w:fill="auto"/>
            <w:vAlign w:val="center"/>
          </w:tcPr>
          <w:p w14:paraId="7291686D" w14:textId="5018C5B2"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4F601FE6" w14:textId="61651F4B"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383C9C26" w14:textId="77777777" w:rsidTr="0069091A">
        <w:trPr>
          <w:cantSplit/>
        </w:trPr>
        <w:tc>
          <w:tcPr>
            <w:tcW w:w="5103" w:type="dxa"/>
            <w:shd w:val="clear" w:color="auto" w:fill="auto"/>
          </w:tcPr>
          <w:p w14:paraId="34F2C226" w14:textId="77777777" w:rsidR="00CA3313" w:rsidRPr="0069091A" w:rsidRDefault="00CA3313" w:rsidP="00CA3313">
            <w:pPr>
              <w:rPr>
                <w:rFonts w:ascii="Calibri" w:hAnsi="Calibri" w:cs="Arial"/>
                <w:color w:val="000000"/>
                <w:sz w:val="22"/>
                <w:szCs w:val="22"/>
              </w:rPr>
            </w:pPr>
            <w:r w:rsidRPr="0069091A">
              <w:rPr>
                <w:rFonts w:ascii="Calibri" w:hAnsi="Calibri" w:cs="Arial"/>
                <w:color w:val="000000"/>
                <w:sz w:val="22"/>
                <w:szCs w:val="22"/>
              </w:rPr>
              <w:t>Automatický tlakový injektor kontrastní látky a fyziologického roztoku umístěný na pojízdném stojanu v MR vyšetřovně</w:t>
            </w:r>
          </w:p>
          <w:p w14:paraId="600EF6CE" w14:textId="77777777" w:rsidR="00CA3313" w:rsidRPr="0069091A" w:rsidRDefault="00CA3313" w:rsidP="00CA3313">
            <w:pPr>
              <w:rPr>
                <w:rFonts w:ascii="Calibri" w:hAnsi="Calibri" w:cs="Arial"/>
                <w:color w:val="000000"/>
                <w:sz w:val="22"/>
                <w:szCs w:val="22"/>
              </w:rPr>
            </w:pPr>
            <w:r w:rsidRPr="0069091A">
              <w:rPr>
                <w:rFonts w:ascii="Calibri" w:hAnsi="Calibri" w:cs="Arial"/>
                <w:color w:val="000000"/>
                <w:sz w:val="22"/>
                <w:szCs w:val="22"/>
              </w:rPr>
              <w:t xml:space="preserve">   - možnost archivace protokolů v paměti</w:t>
            </w:r>
          </w:p>
          <w:p w14:paraId="391F3638" w14:textId="77777777" w:rsidR="00CA3313" w:rsidRPr="0069091A" w:rsidRDefault="00CA3313" w:rsidP="00CA3313">
            <w:pPr>
              <w:rPr>
                <w:rFonts w:ascii="Calibri" w:hAnsi="Calibri" w:cs="Arial"/>
                <w:color w:val="000000"/>
                <w:sz w:val="22"/>
                <w:szCs w:val="22"/>
              </w:rPr>
            </w:pPr>
            <w:r w:rsidRPr="0069091A">
              <w:rPr>
                <w:rFonts w:ascii="Calibri" w:hAnsi="Calibri" w:cs="Arial"/>
                <w:color w:val="000000"/>
                <w:sz w:val="22"/>
                <w:szCs w:val="22"/>
              </w:rPr>
              <w:t xml:space="preserve">   - programovatelný průtok min. 0,1-10 ml/sec s krokem 0,1ml/sec.</w:t>
            </w:r>
          </w:p>
          <w:p w14:paraId="7AAA8ED0" w14:textId="7D6FE612" w:rsidR="00CA3313" w:rsidRPr="0069091A" w:rsidRDefault="00CA3313" w:rsidP="00CA3313">
            <w:pPr>
              <w:rPr>
                <w:rFonts w:cstheme="minorHAnsi"/>
                <w:sz w:val="22"/>
                <w:szCs w:val="22"/>
                <w:highlight w:val="green"/>
              </w:rPr>
            </w:pPr>
            <w:r w:rsidRPr="0069091A">
              <w:rPr>
                <w:rFonts w:ascii="Calibri" w:hAnsi="Calibri" w:cs="Arial"/>
                <w:color w:val="000000"/>
                <w:sz w:val="22"/>
                <w:szCs w:val="22"/>
              </w:rPr>
              <w:t>- možnost nastavení tlakového limitu až 300 psi</w:t>
            </w:r>
          </w:p>
        </w:tc>
        <w:tc>
          <w:tcPr>
            <w:tcW w:w="1560" w:type="dxa"/>
            <w:shd w:val="clear" w:color="auto" w:fill="auto"/>
            <w:vAlign w:val="center"/>
          </w:tcPr>
          <w:p w14:paraId="7C35C176" w14:textId="7F6E7415"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354BCE78" w14:textId="4B6842CA"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r w:rsidR="00CA3313" w14:paraId="137DED79" w14:textId="77777777" w:rsidTr="0069091A">
        <w:trPr>
          <w:cantSplit/>
        </w:trPr>
        <w:tc>
          <w:tcPr>
            <w:tcW w:w="5103" w:type="dxa"/>
            <w:shd w:val="clear" w:color="auto" w:fill="auto"/>
            <w:vAlign w:val="center"/>
          </w:tcPr>
          <w:p w14:paraId="2C4488DA" w14:textId="610BF8EC" w:rsidR="00CA3313" w:rsidRPr="0069091A" w:rsidRDefault="00CA3313" w:rsidP="00CA3313">
            <w:pPr>
              <w:rPr>
                <w:rFonts w:cstheme="minorHAnsi"/>
                <w:color w:val="000000"/>
                <w:sz w:val="22"/>
                <w:szCs w:val="22"/>
                <w:highlight w:val="green"/>
              </w:rPr>
            </w:pPr>
            <w:r w:rsidRPr="0069091A">
              <w:rPr>
                <w:rFonts w:ascii="Calibri" w:hAnsi="Calibri" w:cs="Arial"/>
                <w:color w:val="000000"/>
                <w:sz w:val="22"/>
                <w:szCs w:val="22"/>
              </w:rPr>
              <w:lastRenderedPageBreak/>
              <w:t>Demontáž a ekologická likvidace stávajícího MR</w:t>
            </w:r>
          </w:p>
        </w:tc>
        <w:tc>
          <w:tcPr>
            <w:tcW w:w="1560" w:type="dxa"/>
            <w:shd w:val="clear" w:color="auto" w:fill="auto"/>
            <w:vAlign w:val="center"/>
          </w:tcPr>
          <w:p w14:paraId="5C42CB17" w14:textId="79D70E47"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c>
          <w:tcPr>
            <w:tcW w:w="2970" w:type="dxa"/>
            <w:shd w:val="clear" w:color="auto" w:fill="auto"/>
            <w:vAlign w:val="center"/>
          </w:tcPr>
          <w:p w14:paraId="09761E88" w14:textId="4A4BC443" w:rsidR="00CA3313" w:rsidRPr="0069091A" w:rsidRDefault="00CA3313" w:rsidP="00CA3313">
            <w:pPr>
              <w:jc w:val="center"/>
              <w:rPr>
                <w:rFonts w:ascii="Calibri" w:hAnsi="Calibri" w:cs="Calibri"/>
                <w:color w:val="FF0000"/>
                <w:sz w:val="22"/>
                <w:szCs w:val="22"/>
              </w:rPr>
            </w:pPr>
            <w:r w:rsidRPr="0069091A">
              <w:rPr>
                <w:rFonts w:ascii="Calibri" w:hAnsi="Calibri" w:cs="Calibri"/>
                <w:color w:val="FF0000"/>
                <w:sz w:val="22"/>
                <w:szCs w:val="22"/>
              </w:rPr>
              <w:t>(doplní dodavatel)</w:t>
            </w:r>
          </w:p>
        </w:tc>
      </w:tr>
    </w:tbl>
    <w:p w14:paraId="6BEEF49D" w14:textId="3696F797" w:rsidR="00A37F3F" w:rsidRDefault="0006204C" w:rsidP="00D4608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D46083">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384AD74A" w:rsidR="00A37F3F" w:rsidRDefault="00A37F3F">
      <w:pPr>
        <w:rPr>
          <w:lang w:eastAsia="en-US"/>
        </w:rPr>
      </w:pPr>
    </w:p>
    <w:p w14:paraId="2A31FD6A" w14:textId="03CFFF3E" w:rsidR="00FC1E13" w:rsidRDefault="00FC1E13">
      <w:pPr>
        <w:rPr>
          <w:lang w:eastAsia="en-US"/>
        </w:rPr>
      </w:pPr>
    </w:p>
    <w:p w14:paraId="04982B71" w14:textId="1C65665D" w:rsidR="009030A3" w:rsidRDefault="009030A3" w:rsidP="009030A3">
      <w:pPr>
        <w:rPr>
          <w:rFonts w:asciiTheme="minorHAnsi" w:hAnsiTheme="minorHAnsi"/>
          <w:b/>
          <w:bCs/>
          <w:sz w:val="22"/>
          <w:szCs w:val="22"/>
        </w:rPr>
      </w:pPr>
      <w:r w:rsidRPr="00B7451F">
        <w:rPr>
          <w:rFonts w:asciiTheme="minorHAnsi" w:hAnsiTheme="minorHAnsi"/>
          <w:b/>
          <w:bCs/>
          <w:sz w:val="22"/>
          <w:szCs w:val="22"/>
        </w:rPr>
        <w:t>Kritérium</w:t>
      </w:r>
      <w:r>
        <w:rPr>
          <w:rFonts w:asciiTheme="minorHAnsi" w:hAnsiTheme="minorHAnsi"/>
          <w:b/>
          <w:bCs/>
          <w:sz w:val="22"/>
          <w:szCs w:val="22"/>
        </w:rPr>
        <w:t>:</w:t>
      </w:r>
      <w:r w:rsidRPr="00B7451F">
        <w:rPr>
          <w:rFonts w:asciiTheme="minorHAnsi" w:hAnsiTheme="minorHAnsi"/>
          <w:b/>
          <w:bCs/>
          <w:sz w:val="22"/>
          <w:szCs w:val="22"/>
        </w:rPr>
        <w:t xml:space="preserve"> Technické parametry</w:t>
      </w:r>
      <w:r>
        <w:rPr>
          <w:rFonts w:asciiTheme="minorHAnsi" w:hAnsiTheme="minorHAnsi"/>
          <w:b/>
          <w:bCs/>
          <w:sz w:val="22"/>
          <w:szCs w:val="22"/>
        </w:rPr>
        <w:t xml:space="preserve"> </w:t>
      </w:r>
    </w:p>
    <w:p w14:paraId="5D7FA2DF" w14:textId="2B203AA8" w:rsidR="009030A3" w:rsidRDefault="009030A3" w:rsidP="009030A3">
      <w:pPr>
        <w:rPr>
          <w:lang w:eastAsia="en-US"/>
        </w:rPr>
      </w:pPr>
      <w:r w:rsidRPr="00A913AE">
        <w:rPr>
          <w:rFonts w:asciiTheme="minorHAnsi" w:hAnsiTheme="minorHAnsi"/>
          <w:b/>
          <w:bCs/>
          <w:sz w:val="22"/>
          <w:szCs w:val="22"/>
        </w:rPr>
        <w:t xml:space="preserve">Váha kritéria je </w:t>
      </w:r>
      <w:r>
        <w:rPr>
          <w:rFonts w:asciiTheme="minorHAnsi" w:hAnsiTheme="minorHAnsi"/>
          <w:b/>
          <w:bCs/>
          <w:sz w:val="22"/>
          <w:szCs w:val="22"/>
        </w:rPr>
        <w:t>2</w:t>
      </w:r>
      <w:r w:rsidRPr="00A913AE">
        <w:rPr>
          <w:rFonts w:asciiTheme="minorHAnsi" w:hAnsiTheme="minorHAnsi"/>
          <w:b/>
          <w:bCs/>
          <w:sz w:val="22"/>
          <w:szCs w:val="22"/>
        </w:rPr>
        <w:t>0 %.</w:t>
      </w:r>
    </w:p>
    <w:p w14:paraId="109018B2" w14:textId="77777777" w:rsidR="00FC1E13" w:rsidRDefault="00FC1E13">
      <w:pPr>
        <w:rPr>
          <w:lang w:eastAsia="en-US"/>
        </w:rPr>
      </w:pPr>
    </w:p>
    <w:tbl>
      <w:tblPr>
        <w:tblpPr w:leftFromText="141" w:rightFromText="141" w:bottomFromText="200" w:vertAnchor="text" w:tblpX="60"/>
        <w:tblW w:w="9549" w:type="dxa"/>
        <w:shd w:val="clear" w:color="auto" w:fill="FFFFFF"/>
        <w:tblCellMar>
          <w:left w:w="0" w:type="dxa"/>
          <w:right w:w="0" w:type="dxa"/>
        </w:tblCellMar>
        <w:tblLook w:val="04A0" w:firstRow="1" w:lastRow="0" w:firstColumn="1" w:lastColumn="0" w:noHBand="0" w:noVBand="1"/>
      </w:tblPr>
      <w:tblGrid>
        <w:gridCol w:w="5018"/>
        <w:gridCol w:w="1133"/>
        <w:gridCol w:w="1161"/>
        <w:gridCol w:w="1119"/>
        <w:gridCol w:w="1118"/>
      </w:tblGrid>
      <w:tr w:rsidR="00FC1E13" w14:paraId="68576D50" w14:textId="77777777" w:rsidTr="003D0BE7">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37A3F3ED" w14:textId="77777777" w:rsidR="00FC1E13" w:rsidRDefault="00FC1E13" w:rsidP="003D0BE7">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Hodnocené parametry - </w:t>
            </w:r>
            <w:proofErr w:type="spellStart"/>
            <w:r w:rsidRPr="00DD68C3">
              <w:rPr>
                <w:rFonts w:asciiTheme="minorHAnsi" w:hAnsiTheme="minorHAnsi" w:cs="Arial"/>
                <w:b/>
                <w:bCs/>
                <w:sz w:val="22"/>
                <w:szCs w:val="22"/>
                <w:lang w:eastAsia="en-US"/>
              </w:rPr>
              <w:t>podkritéria</w:t>
            </w:r>
            <w:proofErr w:type="spellEnd"/>
          </w:p>
        </w:tc>
        <w:tc>
          <w:tcPr>
            <w:tcW w:w="1133"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27D19E7F" w14:textId="77777777" w:rsidR="00FC1E13" w:rsidRDefault="00FC1E13" w:rsidP="003D0BE7">
            <w:pPr>
              <w:jc w:val="center"/>
              <w:rPr>
                <w:rFonts w:asciiTheme="minorHAnsi" w:hAnsiTheme="minorHAnsi" w:cs="Arial"/>
                <w:b/>
                <w:bCs/>
                <w:sz w:val="22"/>
                <w:szCs w:val="22"/>
                <w:lang w:eastAsia="en-US"/>
              </w:rPr>
            </w:pPr>
            <w:r>
              <w:rPr>
                <w:rFonts w:asciiTheme="minorHAnsi" w:hAnsiTheme="minorHAnsi" w:cs="Arial"/>
                <w:b/>
                <w:bCs/>
                <w:sz w:val="22"/>
                <w:szCs w:val="22"/>
                <w:lang w:eastAsia="en-US"/>
              </w:rPr>
              <w:t>H</w:t>
            </w:r>
            <w:r w:rsidRPr="00DD68C3">
              <w:rPr>
                <w:rFonts w:asciiTheme="minorHAnsi" w:hAnsiTheme="minorHAnsi" w:cs="Arial"/>
                <w:b/>
                <w:bCs/>
                <w:sz w:val="22"/>
                <w:szCs w:val="22"/>
                <w:lang w:eastAsia="en-US"/>
              </w:rPr>
              <w:t>odnota</w:t>
            </w:r>
            <w:r>
              <w:rPr>
                <w:rFonts w:asciiTheme="minorHAnsi" w:hAnsiTheme="minorHAnsi" w:cs="Arial"/>
                <w:b/>
                <w:bCs/>
                <w:sz w:val="22"/>
                <w:szCs w:val="22"/>
                <w:lang w:eastAsia="en-US"/>
              </w:rPr>
              <w:t>/</w:t>
            </w:r>
          </w:p>
          <w:p w14:paraId="2FBA27FC" w14:textId="77777777" w:rsidR="00FC1E13" w:rsidRDefault="00FC1E13" w:rsidP="003D0BE7">
            <w:pPr>
              <w:spacing w:line="276" w:lineRule="auto"/>
              <w:jc w:val="center"/>
              <w:rPr>
                <w:rFonts w:asciiTheme="minorHAnsi" w:hAnsiTheme="minorHAnsi" w:cs="Arial"/>
                <w:b/>
                <w:bCs/>
                <w:szCs w:val="20"/>
                <w:lang w:eastAsia="en-US"/>
              </w:rPr>
            </w:pPr>
            <w:r>
              <w:rPr>
                <w:rFonts w:asciiTheme="minorHAnsi" w:hAnsiTheme="minorHAnsi" w:cs="Arial"/>
                <w:b/>
                <w:bCs/>
                <w:sz w:val="22"/>
                <w:szCs w:val="22"/>
                <w:lang w:eastAsia="en-US"/>
              </w:rPr>
              <w:t>Jednotka</w:t>
            </w:r>
          </w:p>
        </w:tc>
        <w:tc>
          <w:tcPr>
            <w:tcW w:w="1161"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14:paraId="139CAAB8" w14:textId="77777777" w:rsidR="00FC1E13" w:rsidRDefault="00FC1E13" w:rsidP="003D0BE7">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 xml:space="preserve">Váha </w:t>
            </w:r>
            <w:proofErr w:type="spellStart"/>
            <w:r w:rsidRPr="00DD68C3">
              <w:rPr>
                <w:rFonts w:asciiTheme="minorHAnsi" w:hAnsiTheme="minorHAnsi" w:cs="Arial"/>
                <w:b/>
                <w:bCs/>
                <w:sz w:val="22"/>
                <w:szCs w:val="22"/>
                <w:lang w:eastAsia="en-US"/>
              </w:rPr>
              <w:t>podkritéria</w:t>
            </w:r>
            <w:proofErr w:type="spellEnd"/>
          </w:p>
        </w:tc>
        <w:tc>
          <w:tcPr>
            <w:tcW w:w="1119" w:type="dxa"/>
            <w:tcBorders>
              <w:top w:val="single" w:sz="8" w:space="0" w:color="auto"/>
              <w:left w:val="nil"/>
              <w:bottom w:val="single" w:sz="8" w:space="0" w:color="auto"/>
              <w:right w:val="single" w:sz="8" w:space="0" w:color="auto"/>
            </w:tcBorders>
            <w:shd w:val="clear" w:color="auto" w:fill="BDD6EE" w:themeFill="accent1" w:themeFillTint="66"/>
          </w:tcPr>
          <w:p w14:paraId="7C4E02D9" w14:textId="77777777" w:rsidR="00FC1E13" w:rsidRDefault="00FC1E13" w:rsidP="003D0BE7">
            <w:pPr>
              <w:spacing w:line="276" w:lineRule="auto"/>
              <w:jc w:val="center"/>
              <w:rPr>
                <w:rFonts w:asciiTheme="minorHAnsi" w:hAnsiTheme="minorHAnsi" w:cs="Arial"/>
                <w:b/>
                <w:szCs w:val="20"/>
                <w:lang w:eastAsia="en-US"/>
              </w:rPr>
            </w:pPr>
            <w:r w:rsidRPr="00DD68C3">
              <w:rPr>
                <w:rFonts w:ascii="Calibri" w:eastAsia="Calibri" w:hAnsi="Calibri" w:cs="Calibri"/>
                <w:b/>
                <w:color w:val="000000"/>
                <w:sz w:val="22"/>
                <w:szCs w:val="22"/>
              </w:rPr>
              <w:t>Způsob hodnocení</w:t>
            </w:r>
          </w:p>
        </w:tc>
        <w:tc>
          <w:tcPr>
            <w:tcW w:w="1118" w:type="dxa"/>
            <w:tcBorders>
              <w:top w:val="single" w:sz="8" w:space="0" w:color="auto"/>
              <w:left w:val="nil"/>
              <w:bottom w:val="single" w:sz="8" w:space="0" w:color="auto"/>
              <w:right w:val="single" w:sz="8" w:space="0" w:color="auto"/>
            </w:tcBorders>
            <w:shd w:val="clear" w:color="auto" w:fill="BDD6EE" w:themeFill="accent1" w:themeFillTint="66"/>
          </w:tcPr>
          <w:p w14:paraId="57D02CE7" w14:textId="77777777" w:rsidR="00FC1E13" w:rsidRDefault="00FC1E13" w:rsidP="003D0BE7">
            <w:pPr>
              <w:spacing w:line="276" w:lineRule="auto"/>
              <w:jc w:val="center"/>
              <w:rPr>
                <w:rFonts w:asciiTheme="minorHAnsi" w:hAnsiTheme="minorHAnsi" w:cs="Arial"/>
                <w:b/>
                <w:szCs w:val="20"/>
                <w:lang w:eastAsia="en-US"/>
              </w:rPr>
            </w:pPr>
            <w:r w:rsidRPr="00DD68C3">
              <w:rPr>
                <w:rFonts w:asciiTheme="minorHAnsi" w:hAnsiTheme="minorHAnsi" w:cs="Arial"/>
                <w:b/>
                <w:sz w:val="22"/>
                <w:szCs w:val="22"/>
                <w:lang w:eastAsia="en-US"/>
              </w:rPr>
              <w:t>Nabízené plnění</w:t>
            </w:r>
          </w:p>
        </w:tc>
      </w:tr>
      <w:tr w:rsidR="00FC1E13" w14:paraId="2B7E9A82" w14:textId="77777777" w:rsidTr="003D0BE7">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D097644" w14:textId="44BA08DD" w:rsidR="00FC1E13" w:rsidRPr="00BA0D19" w:rsidRDefault="009030A3" w:rsidP="003D0BE7">
            <w:pPr>
              <w:spacing w:line="276" w:lineRule="auto"/>
              <w:rPr>
                <w:rFonts w:asciiTheme="minorHAnsi" w:hAnsiTheme="minorHAnsi" w:cs="Arial"/>
                <w:b/>
                <w:bCs/>
                <w:szCs w:val="20"/>
                <w:lang w:eastAsia="en-US"/>
              </w:rPr>
            </w:pPr>
            <w:r w:rsidRPr="009030A3">
              <w:rPr>
                <w:rFonts w:asciiTheme="minorHAnsi" w:hAnsiTheme="minorHAnsi" w:cs="Arial"/>
                <w:b/>
                <w:bCs/>
                <w:szCs w:val="20"/>
                <w:lang w:eastAsia="en-US"/>
              </w:rPr>
              <w:t>Garantovaná homogenita magnetického pole v plném FOV tj ve sférickém objemu 50 cm.</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F0B1798" w14:textId="643563A1" w:rsidR="00FC1E13" w:rsidRDefault="009030A3" w:rsidP="003D0BE7">
            <w:pPr>
              <w:spacing w:line="276" w:lineRule="auto"/>
              <w:jc w:val="center"/>
              <w:rPr>
                <w:rFonts w:asciiTheme="minorHAnsi" w:hAnsiTheme="minorHAnsi" w:cs="Arial"/>
                <w:b/>
                <w:bCs/>
                <w:szCs w:val="20"/>
                <w:lang w:eastAsia="en-US"/>
              </w:rPr>
            </w:pPr>
            <w:proofErr w:type="spellStart"/>
            <w:r w:rsidRPr="009030A3">
              <w:rPr>
                <w:rFonts w:asciiTheme="minorHAnsi" w:hAnsiTheme="minorHAnsi" w:cs="Arial"/>
                <w:b/>
                <w:bCs/>
                <w:szCs w:val="20"/>
                <w:lang w:eastAsia="en-US"/>
              </w:rPr>
              <w:t>ppm</w:t>
            </w:r>
            <w:proofErr w:type="spellEnd"/>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7951D07" w14:textId="6CEA6F8D" w:rsidR="00FC1E13" w:rsidRDefault="009030A3" w:rsidP="003D0BE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w:t>
            </w:r>
            <w:r w:rsidR="00FC1E13">
              <w:rPr>
                <w:rFonts w:asciiTheme="minorHAnsi" w:hAnsiTheme="minorHAnsi" w:cs="Arial"/>
                <w:b/>
                <w:bCs/>
                <w:szCs w:val="20"/>
                <w:lang w:eastAsia="en-US"/>
              </w:rPr>
              <w:t>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3B1F676A" w14:textId="3727B52C" w:rsidR="00FC1E13" w:rsidRDefault="009030A3" w:rsidP="003D0BE7">
            <w:pPr>
              <w:spacing w:line="276" w:lineRule="auto"/>
              <w:jc w:val="center"/>
              <w:rPr>
                <w:rFonts w:asciiTheme="minorHAnsi" w:hAnsiTheme="minorHAnsi" w:cs="Arial"/>
                <w:b/>
                <w:szCs w:val="20"/>
                <w:lang w:eastAsia="en-US"/>
              </w:rPr>
            </w:pPr>
            <w:r w:rsidRPr="009030A3">
              <w:rPr>
                <w:rFonts w:asciiTheme="minorHAnsi" w:hAnsiTheme="minorHAnsi" w:cs="Arial"/>
                <w:b/>
                <w:szCs w:val="20"/>
                <w:lang w:eastAsia="en-US"/>
              </w:rPr>
              <w:t>Menší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3ECF2300" w14:textId="77777777" w:rsidR="00FC1E13" w:rsidRDefault="00FC1E13" w:rsidP="003D0BE7">
            <w:pPr>
              <w:spacing w:line="276" w:lineRule="auto"/>
              <w:jc w:val="center"/>
              <w:rPr>
                <w:rFonts w:asciiTheme="minorHAnsi" w:hAnsiTheme="minorHAnsi" w:cs="Arial"/>
                <w:b/>
                <w:szCs w:val="20"/>
                <w:lang w:eastAsia="en-US"/>
              </w:rPr>
            </w:pPr>
            <w:r w:rsidRPr="00C05B5F">
              <w:rPr>
                <w:rFonts w:ascii="Calibri" w:hAnsi="Calibri" w:cs="Calibri"/>
                <w:color w:val="FF0000"/>
                <w:szCs w:val="20"/>
              </w:rPr>
              <w:t>(doplní dodavatel)</w:t>
            </w:r>
          </w:p>
        </w:tc>
      </w:tr>
      <w:tr w:rsidR="00FC1E13" w14:paraId="276A8B20" w14:textId="77777777" w:rsidTr="003D0BE7">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2FA2918" w14:textId="014937F8" w:rsidR="00FC1E13" w:rsidRPr="00BA0D19" w:rsidRDefault="009030A3" w:rsidP="003D0BE7">
            <w:pPr>
              <w:spacing w:line="276" w:lineRule="auto"/>
              <w:rPr>
                <w:rFonts w:asciiTheme="minorHAnsi" w:hAnsiTheme="minorHAnsi" w:cs="Arial"/>
                <w:b/>
                <w:bCs/>
                <w:szCs w:val="20"/>
                <w:lang w:eastAsia="en-US"/>
              </w:rPr>
            </w:pPr>
            <w:r w:rsidRPr="009030A3">
              <w:rPr>
                <w:rFonts w:asciiTheme="minorHAnsi" w:hAnsiTheme="minorHAnsi" w:cs="Arial"/>
                <w:b/>
                <w:bCs/>
                <w:szCs w:val="20"/>
                <w:lang w:eastAsia="en-US"/>
              </w:rPr>
              <w:t>Maximální možný počet nezávislých přijímacích RF kanálů / cívkových elementů ve FOV velikosti 50 x 50 x 45</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2075C94" w14:textId="7EEA83CF" w:rsidR="00FC1E13" w:rsidRDefault="00FC1E13" w:rsidP="003D0BE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 xml:space="preserve"> </w:t>
            </w:r>
            <w:r w:rsidR="009030A3">
              <w:rPr>
                <w:rFonts w:asciiTheme="minorHAnsi" w:hAnsiTheme="minorHAnsi" w:cs="Arial"/>
                <w:b/>
                <w:bCs/>
                <w:szCs w:val="20"/>
                <w:lang w:eastAsia="en-US"/>
              </w:rPr>
              <w:t>počet</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F7771F5" w14:textId="02DFB9D7" w:rsidR="00FC1E13" w:rsidRDefault="009030A3" w:rsidP="003D0BE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w:t>
            </w:r>
            <w:r w:rsidR="00FC1E13">
              <w:rPr>
                <w:rFonts w:asciiTheme="minorHAnsi" w:hAnsiTheme="minorHAnsi" w:cs="Arial"/>
                <w:b/>
                <w:bCs/>
                <w:szCs w:val="20"/>
                <w:lang w:eastAsia="en-US"/>
              </w:rPr>
              <w:t>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145B95D4" w14:textId="02433502" w:rsidR="00FC1E13" w:rsidRDefault="009030A3" w:rsidP="003D0BE7">
            <w:pPr>
              <w:spacing w:line="276" w:lineRule="auto"/>
              <w:jc w:val="center"/>
              <w:rPr>
                <w:rFonts w:asciiTheme="minorHAnsi" w:hAnsiTheme="minorHAnsi" w:cs="Arial"/>
                <w:b/>
                <w:bCs/>
                <w:szCs w:val="20"/>
                <w:lang w:eastAsia="en-US"/>
              </w:rPr>
            </w:pPr>
            <w:r>
              <w:rPr>
                <w:rFonts w:asciiTheme="minorHAnsi" w:hAnsiTheme="minorHAnsi" w:cs="Arial"/>
                <w:b/>
                <w:szCs w:val="20"/>
                <w:lang w:eastAsia="en-US"/>
              </w:rPr>
              <w:t>Více</w:t>
            </w:r>
            <w:r w:rsidR="00FC1E13">
              <w:rPr>
                <w:rFonts w:asciiTheme="minorHAnsi" w:hAnsiTheme="minorHAnsi" w:cs="Arial"/>
                <w:b/>
                <w:bCs/>
                <w:szCs w:val="20"/>
                <w:lang w:eastAsia="en-US"/>
              </w:rPr>
              <w:t xml:space="preserve"> je</w:t>
            </w:r>
          </w:p>
          <w:p w14:paraId="188FA6FB" w14:textId="77777777" w:rsidR="00FC1E13" w:rsidRDefault="00FC1E13" w:rsidP="003D0BE7">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 xml:space="preserv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5A05B12A" w14:textId="77777777" w:rsidR="00FC1E13" w:rsidRPr="002F0394" w:rsidRDefault="00FC1E13" w:rsidP="003D0BE7">
            <w:pPr>
              <w:spacing w:line="276" w:lineRule="auto"/>
              <w:jc w:val="center"/>
              <w:rPr>
                <w:rFonts w:asciiTheme="minorHAnsi" w:hAnsiTheme="minorHAnsi" w:cs="Arial"/>
                <w:b/>
                <w:lang w:eastAsia="en-US"/>
              </w:rPr>
            </w:pPr>
            <w:r w:rsidRPr="00C05B5F">
              <w:rPr>
                <w:rFonts w:ascii="Calibri" w:hAnsi="Calibri" w:cs="Calibri"/>
                <w:color w:val="FF0000"/>
                <w:szCs w:val="20"/>
              </w:rPr>
              <w:t>(doplní dodavatel)</w:t>
            </w:r>
          </w:p>
        </w:tc>
      </w:tr>
      <w:tr w:rsidR="00FC1E13" w14:paraId="6AD4DCC5" w14:textId="77777777" w:rsidTr="00FC1E13">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D680F8F" w14:textId="4B911CF1" w:rsidR="00FC1E13" w:rsidRPr="009030A3" w:rsidRDefault="009030A3" w:rsidP="003D0BE7">
            <w:pPr>
              <w:spacing w:line="276" w:lineRule="auto"/>
              <w:rPr>
                <w:rFonts w:asciiTheme="minorHAnsi" w:hAnsiTheme="minorHAnsi" w:cs="Arial"/>
                <w:b/>
                <w:bCs/>
                <w:szCs w:val="20"/>
                <w:lang w:eastAsia="en-US"/>
              </w:rPr>
            </w:pPr>
            <w:r w:rsidRPr="009030A3">
              <w:rPr>
                <w:rFonts w:asciiTheme="minorHAnsi" w:hAnsiTheme="minorHAnsi" w:cs="Arial"/>
                <w:b/>
                <w:bCs/>
                <w:szCs w:val="20"/>
                <w:lang w:eastAsia="en-US"/>
              </w:rPr>
              <w:t xml:space="preserve">Použití umělé </w:t>
            </w:r>
            <w:proofErr w:type="spellStart"/>
            <w:r w:rsidRPr="009030A3">
              <w:rPr>
                <w:rFonts w:asciiTheme="minorHAnsi" w:hAnsiTheme="minorHAnsi" w:cs="Arial"/>
                <w:b/>
                <w:bCs/>
                <w:szCs w:val="20"/>
                <w:lang w:eastAsia="en-US"/>
              </w:rPr>
              <w:t>intelligence</w:t>
            </w:r>
            <w:proofErr w:type="spellEnd"/>
            <w:r w:rsidRPr="009030A3">
              <w:rPr>
                <w:rFonts w:asciiTheme="minorHAnsi" w:hAnsiTheme="minorHAnsi" w:cs="Arial"/>
                <w:b/>
                <w:bCs/>
                <w:szCs w:val="20"/>
                <w:lang w:eastAsia="en-US"/>
              </w:rPr>
              <w:t xml:space="preserve"> (DLR) se současným využitím techniky s náhodným </w:t>
            </w:r>
            <w:proofErr w:type="spellStart"/>
            <w:r w:rsidRPr="009030A3">
              <w:rPr>
                <w:rFonts w:asciiTheme="minorHAnsi" w:hAnsiTheme="minorHAnsi" w:cs="Arial"/>
                <w:b/>
                <w:bCs/>
                <w:szCs w:val="20"/>
                <w:lang w:eastAsia="en-US"/>
              </w:rPr>
              <w:t>podvzorkováním</w:t>
            </w:r>
            <w:proofErr w:type="spellEnd"/>
            <w:r w:rsidRPr="009030A3">
              <w:rPr>
                <w:rFonts w:asciiTheme="minorHAnsi" w:hAnsiTheme="minorHAnsi" w:cs="Arial"/>
                <w:b/>
                <w:bCs/>
                <w:szCs w:val="20"/>
                <w:lang w:eastAsia="en-US"/>
              </w:rPr>
              <w:t xml:space="preserve"> k-prostoru (</w:t>
            </w:r>
            <w:proofErr w:type="spellStart"/>
            <w:r w:rsidRPr="009030A3">
              <w:rPr>
                <w:rFonts w:asciiTheme="minorHAnsi" w:hAnsiTheme="minorHAnsi" w:cs="Arial"/>
                <w:b/>
                <w:bCs/>
                <w:szCs w:val="20"/>
                <w:lang w:eastAsia="en-US"/>
              </w:rPr>
              <w:t>Compressed</w:t>
            </w:r>
            <w:proofErr w:type="spellEnd"/>
            <w:r w:rsidRPr="009030A3">
              <w:rPr>
                <w:rFonts w:asciiTheme="minorHAnsi" w:hAnsiTheme="minorHAnsi" w:cs="Arial"/>
                <w:b/>
                <w:bCs/>
                <w:szCs w:val="20"/>
                <w:lang w:eastAsia="en-US"/>
              </w:rPr>
              <w:t xml:space="preserve"> </w:t>
            </w:r>
            <w:proofErr w:type="spellStart"/>
            <w:r w:rsidRPr="009030A3">
              <w:rPr>
                <w:rFonts w:asciiTheme="minorHAnsi" w:hAnsiTheme="minorHAnsi" w:cs="Arial"/>
                <w:b/>
                <w:bCs/>
                <w:szCs w:val="20"/>
                <w:lang w:eastAsia="en-US"/>
              </w:rPr>
              <w:t>Sensing</w:t>
            </w:r>
            <w:proofErr w:type="spellEnd"/>
            <w:r w:rsidRPr="009030A3">
              <w:rPr>
                <w:rFonts w:asciiTheme="minorHAnsi" w:hAnsiTheme="minorHAnsi" w:cs="Arial"/>
                <w:b/>
                <w:bCs/>
                <w:szCs w:val="20"/>
                <w:lang w:eastAsia="en-US"/>
              </w:rPr>
              <w:t xml:space="preserve"> , </w:t>
            </w:r>
            <w:proofErr w:type="spellStart"/>
            <w:r w:rsidRPr="009030A3">
              <w:rPr>
                <w:rFonts w:asciiTheme="minorHAnsi" w:hAnsiTheme="minorHAnsi" w:cs="Arial"/>
                <w:b/>
                <w:bCs/>
                <w:szCs w:val="20"/>
                <w:lang w:eastAsia="en-US"/>
              </w:rPr>
              <w:t>Compressed</w:t>
            </w:r>
            <w:proofErr w:type="spellEnd"/>
            <w:r w:rsidRPr="009030A3">
              <w:rPr>
                <w:rFonts w:asciiTheme="minorHAnsi" w:hAnsiTheme="minorHAnsi" w:cs="Arial"/>
                <w:b/>
                <w:bCs/>
                <w:szCs w:val="20"/>
                <w:lang w:eastAsia="en-US"/>
              </w:rPr>
              <w:t xml:space="preserve"> SPEEDER, </w:t>
            </w:r>
            <w:proofErr w:type="spellStart"/>
            <w:r w:rsidRPr="009030A3">
              <w:rPr>
                <w:rFonts w:asciiTheme="minorHAnsi" w:hAnsiTheme="minorHAnsi" w:cs="Arial"/>
                <w:b/>
                <w:bCs/>
                <w:szCs w:val="20"/>
                <w:lang w:eastAsia="en-US"/>
              </w:rPr>
              <w:t>Compressed</w:t>
            </w:r>
            <w:proofErr w:type="spellEnd"/>
            <w:r w:rsidRPr="009030A3">
              <w:rPr>
                <w:rFonts w:asciiTheme="minorHAnsi" w:hAnsiTheme="minorHAnsi" w:cs="Arial"/>
                <w:b/>
                <w:bCs/>
                <w:szCs w:val="20"/>
                <w:lang w:eastAsia="en-US"/>
              </w:rPr>
              <w:t xml:space="preserve"> SENSE, </w:t>
            </w:r>
            <w:proofErr w:type="spellStart"/>
            <w:r w:rsidRPr="009030A3">
              <w:rPr>
                <w:rFonts w:asciiTheme="minorHAnsi" w:hAnsiTheme="minorHAnsi" w:cs="Arial"/>
                <w:b/>
                <w:bCs/>
                <w:szCs w:val="20"/>
                <w:lang w:eastAsia="en-US"/>
              </w:rPr>
              <w:t>HyperSense</w:t>
            </w:r>
            <w:proofErr w:type="spellEnd"/>
            <w:r w:rsidRPr="009030A3">
              <w:rPr>
                <w:rFonts w:asciiTheme="minorHAnsi" w:hAnsiTheme="minorHAnsi" w:cs="Arial"/>
                <w:b/>
                <w:bCs/>
                <w:szCs w:val="20"/>
                <w:lang w:eastAsia="en-US"/>
              </w:rPr>
              <w:t>) pro rekonstrukci obrazu zkracující dobu skenování a nižším šumem ve všech vyšetřovaných anatomických oblastech lidského těla</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C29BEFC" w14:textId="62224680" w:rsidR="00FC1E13" w:rsidRDefault="009030A3" w:rsidP="003D0BE7">
            <w:pPr>
              <w:spacing w:line="276" w:lineRule="auto"/>
              <w:jc w:val="center"/>
              <w:rPr>
                <w:rFonts w:asciiTheme="minorHAnsi" w:hAnsiTheme="minorHAnsi" w:cs="Arial"/>
                <w:sz w:val="18"/>
                <w:szCs w:val="18"/>
                <w:lang w:eastAsia="en-US"/>
              </w:rPr>
            </w:pPr>
            <w:r w:rsidRPr="009030A3">
              <w:rPr>
                <w:rFonts w:asciiTheme="minorHAnsi" w:hAnsiTheme="minorHAnsi" w:cs="Arial"/>
                <w:b/>
                <w:bCs/>
                <w:szCs w:val="20"/>
                <w:lang w:eastAsia="en-US"/>
              </w:rPr>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890A1D0" w14:textId="10499838" w:rsidR="00FC1E13" w:rsidRDefault="009030A3" w:rsidP="003D0BE7">
            <w:pPr>
              <w:spacing w:line="276" w:lineRule="auto"/>
              <w:jc w:val="center"/>
              <w:rPr>
                <w:rFonts w:asciiTheme="minorHAnsi" w:hAnsiTheme="minorHAnsi" w:cs="Arial"/>
                <w:sz w:val="18"/>
                <w:szCs w:val="18"/>
                <w:lang w:eastAsia="en-US"/>
              </w:rPr>
            </w:pPr>
            <w:r>
              <w:rPr>
                <w:rFonts w:asciiTheme="minorHAnsi" w:hAnsiTheme="minorHAnsi" w:cs="Arial"/>
                <w:b/>
                <w:bCs/>
                <w:szCs w:val="20"/>
                <w:lang w:eastAsia="en-US"/>
              </w:rPr>
              <w:t>25</w:t>
            </w:r>
            <w:r w:rsidR="00FC1E13">
              <w:rPr>
                <w:rFonts w:asciiTheme="minorHAnsi" w:hAnsiTheme="minorHAnsi" w:cs="Arial"/>
                <w:b/>
                <w:bCs/>
                <w:szCs w:val="20"/>
                <w:lang w:eastAsia="en-US"/>
              </w:rPr>
              <w:t xml:space="preserve"> %</w:t>
            </w:r>
          </w:p>
        </w:tc>
        <w:tc>
          <w:tcPr>
            <w:tcW w:w="1119" w:type="dxa"/>
            <w:tcBorders>
              <w:top w:val="single" w:sz="8" w:space="0" w:color="auto"/>
              <w:left w:val="nil"/>
              <w:bottom w:val="single" w:sz="8" w:space="0" w:color="auto"/>
              <w:right w:val="single" w:sz="8" w:space="0" w:color="auto"/>
            </w:tcBorders>
            <w:shd w:val="clear" w:color="auto" w:fill="FFFFFF"/>
            <w:vAlign w:val="center"/>
            <w:hideMark/>
          </w:tcPr>
          <w:p w14:paraId="768ABD02" w14:textId="3990EC66" w:rsidR="00FC1E13" w:rsidRDefault="009030A3" w:rsidP="003D0BE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ANO=</w:t>
            </w:r>
            <w:r w:rsidR="00153669">
              <w:rPr>
                <w:rFonts w:asciiTheme="minorHAnsi" w:hAnsiTheme="minorHAnsi" w:cs="Arial"/>
                <w:b/>
                <w:bCs/>
                <w:szCs w:val="20"/>
                <w:lang w:eastAsia="en-US"/>
              </w:rPr>
              <w:t>25</w:t>
            </w:r>
            <w:r>
              <w:rPr>
                <w:rFonts w:asciiTheme="minorHAnsi" w:hAnsiTheme="minorHAnsi" w:cs="Arial"/>
                <w:b/>
                <w:bCs/>
                <w:szCs w:val="20"/>
                <w:lang w:eastAsia="en-US"/>
              </w:rPr>
              <w:t xml:space="preserve"> bodů, NE=0 bodů</w:t>
            </w:r>
          </w:p>
          <w:p w14:paraId="621B3CE6" w14:textId="4381FEEC" w:rsidR="009030A3" w:rsidRDefault="009030A3" w:rsidP="003D0BE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49FC3046" w14:textId="77777777" w:rsidR="00FC1E13" w:rsidRPr="002F0394" w:rsidRDefault="00FC1E13" w:rsidP="003D0BE7">
            <w:pPr>
              <w:spacing w:line="276" w:lineRule="auto"/>
              <w:jc w:val="center"/>
              <w:rPr>
                <w:rFonts w:asciiTheme="minorHAnsi" w:hAnsiTheme="minorHAnsi" w:cs="Arial"/>
                <w:b/>
                <w:lang w:eastAsia="en-US"/>
              </w:rPr>
            </w:pPr>
            <w:r w:rsidRPr="00C05B5F">
              <w:rPr>
                <w:rFonts w:ascii="Calibri" w:hAnsi="Calibri" w:cs="Calibri"/>
                <w:color w:val="FF0000"/>
                <w:szCs w:val="20"/>
              </w:rPr>
              <w:t>(doplní dodavatel)</w:t>
            </w:r>
          </w:p>
        </w:tc>
      </w:tr>
      <w:tr w:rsidR="00FC1E13" w14:paraId="2EF73802" w14:textId="77777777" w:rsidTr="003D0BE7">
        <w:trPr>
          <w:trHeight w:val="660"/>
        </w:trPr>
        <w:tc>
          <w:tcPr>
            <w:tcW w:w="501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3266EA0" w14:textId="7C236AE2" w:rsidR="00FC1E13" w:rsidRPr="009030A3" w:rsidRDefault="009030A3" w:rsidP="003D0BE7">
            <w:pPr>
              <w:spacing w:line="276" w:lineRule="auto"/>
              <w:rPr>
                <w:rFonts w:asciiTheme="minorHAnsi" w:hAnsiTheme="minorHAnsi" w:cs="Arial"/>
                <w:b/>
                <w:bCs/>
                <w:szCs w:val="20"/>
                <w:lang w:eastAsia="en-US"/>
              </w:rPr>
            </w:pPr>
            <w:r w:rsidRPr="009030A3">
              <w:rPr>
                <w:rFonts w:asciiTheme="minorHAnsi" w:hAnsiTheme="minorHAnsi" w:cs="Arial"/>
                <w:b/>
                <w:bCs/>
                <w:szCs w:val="20"/>
                <w:lang w:eastAsia="en-US"/>
              </w:rPr>
              <w:t>Vícekanálová vysílací RF cesta</w:t>
            </w:r>
          </w:p>
        </w:tc>
        <w:tc>
          <w:tcPr>
            <w:tcW w:w="113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46EA9BE" w14:textId="0146A416" w:rsidR="00FC1E13" w:rsidRDefault="00153669" w:rsidP="003D0BE7">
            <w:pPr>
              <w:spacing w:line="276" w:lineRule="auto"/>
              <w:jc w:val="center"/>
              <w:rPr>
                <w:rFonts w:asciiTheme="minorHAnsi" w:hAnsiTheme="minorHAnsi" w:cs="Arial"/>
                <w:b/>
                <w:bCs/>
                <w:szCs w:val="20"/>
                <w:lang w:eastAsia="en-US"/>
              </w:rPr>
            </w:pPr>
            <w:r w:rsidRPr="00153669">
              <w:rPr>
                <w:rFonts w:asciiTheme="minorHAnsi" w:hAnsiTheme="minorHAnsi" w:cs="Arial"/>
                <w:b/>
                <w:bCs/>
                <w:szCs w:val="20"/>
                <w:lang w:eastAsia="en-US"/>
              </w:rPr>
              <w:t>ANO/NE</w:t>
            </w:r>
          </w:p>
        </w:tc>
        <w:tc>
          <w:tcPr>
            <w:tcW w:w="1161"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472D204" w14:textId="55D1578E" w:rsidR="00FC1E13" w:rsidRDefault="00153669" w:rsidP="003D0BE7">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w:t>
            </w:r>
            <w:r w:rsidR="00FC1E13">
              <w:rPr>
                <w:rFonts w:asciiTheme="minorHAnsi" w:hAnsiTheme="minorHAnsi" w:cs="Arial"/>
                <w:b/>
                <w:bCs/>
                <w:szCs w:val="20"/>
                <w:lang w:eastAsia="en-US"/>
              </w:rPr>
              <w:t>5 %</w:t>
            </w:r>
          </w:p>
        </w:tc>
        <w:tc>
          <w:tcPr>
            <w:tcW w:w="1119" w:type="dxa"/>
            <w:tcBorders>
              <w:top w:val="single" w:sz="8" w:space="0" w:color="auto"/>
              <w:left w:val="nil"/>
              <w:bottom w:val="single" w:sz="8" w:space="0" w:color="auto"/>
              <w:right w:val="single" w:sz="8" w:space="0" w:color="auto"/>
            </w:tcBorders>
            <w:shd w:val="clear" w:color="auto" w:fill="FFFFFF"/>
            <w:vAlign w:val="center"/>
          </w:tcPr>
          <w:p w14:paraId="27D67ED9" w14:textId="77777777" w:rsidR="00153669" w:rsidRDefault="00153669" w:rsidP="00153669">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ANO=25 bodů, NE=0 bodů</w:t>
            </w:r>
          </w:p>
          <w:p w14:paraId="53EFB4E6" w14:textId="6ACD1E00" w:rsidR="00FC1E13" w:rsidRDefault="00153669" w:rsidP="00153669">
            <w:pPr>
              <w:spacing w:line="276" w:lineRule="auto"/>
              <w:jc w:val="center"/>
              <w:rPr>
                <w:rFonts w:asciiTheme="minorHAnsi" w:hAnsiTheme="minorHAnsi" w:cs="Arial"/>
                <w:b/>
                <w:szCs w:val="20"/>
                <w:lang w:eastAsia="en-US"/>
              </w:rPr>
            </w:pPr>
            <w:r>
              <w:rPr>
                <w:rFonts w:asciiTheme="minorHAnsi" w:hAnsiTheme="minorHAnsi" w:cs="Arial"/>
                <w:b/>
                <w:bCs/>
                <w:szCs w:val="20"/>
                <w:lang w:eastAsia="en-US"/>
              </w:rPr>
              <w:t>Ano je lepší</w:t>
            </w:r>
          </w:p>
        </w:tc>
        <w:tc>
          <w:tcPr>
            <w:tcW w:w="1118" w:type="dxa"/>
            <w:tcBorders>
              <w:top w:val="single" w:sz="8" w:space="0" w:color="auto"/>
              <w:left w:val="nil"/>
              <w:bottom w:val="single" w:sz="8" w:space="0" w:color="auto"/>
              <w:right w:val="single" w:sz="8" w:space="0" w:color="auto"/>
            </w:tcBorders>
            <w:shd w:val="clear" w:color="auto" w:fill="FFFFFF"/>
            <w:vAlign w:val="center"/>
          </w:tcPr>
          <w:p w14:paraId="2DFBC667" w14:textId="77777777" w:rsidR="00FC1E13" w:rsidRPr="002F0394" w:rsidRDefault="00FC1E13" w:rsidP="003D0BE7">
            <w:pPr>
              <w:spacing w:line="276" w:lineRule="auto"/>
              <w:jc w:val="center"/>
              <w:rPr>
                <w:rFonts w:asciiTheme="minorHAnsi" w:hAnsiTheme="minorHAnsi" w:cs="Arial"/>
                <w:b/>
                <w:lang w:eastAsia="en-US"/>
              </w:rPr>
            </w:pPr>
            <w:r w:rsidRPr="00C05B5F">
              <w:rPr>
                <w:rFonts w:ascii="Calibri" w:hAnsi="Calibri" w:cs="Calibri"/>
                <w:color w:val="FF0000"/>
                <w:szCs w:val="20"/>
              </w:rPr>
              <w:t>(doplní dodavatel)</w:t>
            </w:r>
          </w:p>
        </w:tc>
      </w:tr>
    </w:tbl>
    <w:p w14:paraId="7F455502" w14:textId="2A5BCF82" w:rsidR="00FC1E13" w:rsidRDefault="00FC1E13">
      <w:pPr>
        <w:rPr>
          <w:lang w:eastAsia="en-US"/>
        </w:rPr>
      </w:pPr>
    </w:p>
    <w:p w14:paraId="1F346873" w14:textId="3897BC6D" w:rsidR="00FC1E13" w:rsidRDefault="00FC1E13">
      <w:pPr>
        <w:rPr>
          <w:lang w:eastAsia="en-US"/>
        </w:rPr>
      </w:pPr>
    </w:p>
    <w:p w14:paraId="3024615D" w14:textId="7EB7F65C" w:rsidR="00FC1E13" w:rsidRDefault="00FC1E13">
      <w:pPr>
        <w:rPr>
          <w:lang w:eastAsia="en-US"/>
        </w:rPr>
      </w:pPr>
    </w:p>
    <w:p w14:paraId="72817BB5" w14:textId="3407026F" w:rsidR="00C9700A" w:rsidRPr="00153669" w:rsidRDefault="00C9700A" w:rsidP="00153669">
      <w:pPr>
        <w:shd w:val="clear" w:color="auto" w:fill="FFFFFF"/>
        <w:rPr>
          <w:rFonts w:asciiTheme="minorHAnsi" w:hAnsiTheme="minorHAnsi" w:cstheme="minorHAnsi"/>
          <w:color w:val="000000"/>
          <w:sz w:val="22"/>
          <w:szCs w:val="22"/>
        </w:rPr>
      </w:pPr>
    </w:p>
    <w:p w14:paraId="1C054782" w14:textId="77777777" w:rsidR="00A21D13" w:rsidRDefault="00A21D13">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3A567988" w:rsidR="00A37F3F" w:rsidRDefault="00DB4AA5">
    <w:pPr>
      <w:pStyle w:val="Zhlav"/>
      <w:jc w:val="both"/>
    </w:pPr>
    <w:r>
      <w:rPr>
        <w:noProof/>
      </w:rPr>
      <w:drawing>
        <wp:anchor distT="0" distB="0" distL="0" distR="0" simplePos="0" relativeHeight="4" behindDoc="1" locked="0" layoutInCell="1" allowOverlap="1" wp14:anchorId="3B0C31C7" wp14:editId="27F5CAFD">
          <wp:simplePos x="0" y="0"/>
          <wp:positionH relativeFrom="margin">
            <wp:posOffset>4135120</wp:posOffset>
          </wp:positionH>
          <wp:positionV relativeFrom="paragraph">
            <wp:posOffset>103505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ins w:id="0" w:author="Čížková Jaroslava (PKN-ZAK)" w:date="2022-07-05T16:12:00Z">
      <w:r>
        <w:rPr>
          <w:noProof/>
        </w:rPr>
        <w:drawing>
          <wp:anchor distT="0" distB="0" distL="114300" distR="114300" simplePos="0" relativeHeight="251658240" behindDoc="0" locked="0" layoutInCell="1" allowOverlap="1" wp14:anchorId="3A71A6BB" wp14:editId="165A0003">
            <wp:simplePos x="0" y="0"/>
            <wp:positionH relativeFrom="margin">
              <wp:posOffset>-346710</wp:posOffset>
            </wp:positionH>
            <wp:positionV relativeFrom="paragraph">
              <wp:posOffset>-3175</wp:posOffset>
            </wp:positionV>
            <wp:extent cx="4406265" cy="7620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62000"/>
                    </a:xfrm>
                    <a:prstGeom prst="rect">
                      <a:avLst/>
                    </a:prstGeom>
                    <a:noFill/>
                    <a:ln>
                      <a:noFill/>
                    </a:ln>
                  </pic:spPr>
                </pic:pic>
              </a:graphicData>
            </a:graphic>
            <wp14:sizeRelH relativeFrom="margin">
              <wp14:pctWidth>0</wp14:pctWidth>
            </wp14:sizeRelH>
            <wp14:sizeRelV relativeFrom="margin">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A7030"/>
    <w:multiLevelType w:val="hybridMultilevel"/>
    <w:tmpl w:val="6D4EB372"/>
    <w:lvl w:ilvl="0" w:tplc="2E9A3902">
      <w:start w:val="3"/>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2DE446AD"/>
    <w:multiLevelType w:val="hybridMultilevel"/>
    <w:tmpl w:val="79B4497C"/>
    <w:lvl w:ilvl="0" w:tplc="D86C4918">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2"/>
  </w:num>
  <w:num w:numId="2" w16cid:durableId="266085458">
    <w:abstractNumId w:val="3"/>
  </w:num>
  <w:num w:numId="3" w16cid:durableId="1286962479">
    <w:abstractNumId w:val="0"/>
  </w:num>
  <w:num w:numId="4" w16cid:durableId="13330301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626BE"/>
    <w:rsid w:val="000A46DA"/>
    <w:rsid w:val="000D3359"/>
    <w:rsid w:val="001201C5"/>
    <w:rsid w:val="001406BE"/>
    <w:rsid w:val="00140A5E"/>
    <w:rsid w:val="00153669"/>
    <w:rsid w:val="00154CFF"/>
    <w:rsid w:val="00176F96"/>
    <w:rsid w:val="00256D8E"/>
    <w:rsid w:val="00304FDF"/>
    <w:rsid w:val="00332F1B"/>
    <w:rsid w:val="003A4C6C"/>
    <w:rsid w:val="00416312"/>
    <w:rsid w:val="004F1995"/>
    <w:rsid w:val="005160D4"/>
    <w:rsid w:val="005369D4"/>
    <w:rsid w:val="005A1FEA"/>
    <w:rsid w:val="0061682D"/>
    <w:rsid w:val="00686DE7"/>
    <w:rsid w:val="0069091A"/>
    <w:rsid w:val="00730DFA"/>
    <w:rsid w:val="0082694E"/>
    <w:rsid w:val="008F4413"/>
    <w:rsid w:val="009030A3"/>
    <w:rsid w:val="00911744"/>
    <w:rsid w:val="00995AE2"/>
    <w:rsid w:val="009C4FEE"/>
    <w:rsid w:val="009D4CE8"/>
    <w:rsid w:val="009F0B4C"/>
    <w:rsid w:val="00A21D13"/>
    <w:rsid w:val="00A37F3F"/>
    <w:rsid w:val="00A95871"/>
    <w:rsid w:val="00B4069C"/>
    <w:rsid w:val="00B942E7"/>
    <w:rsid w:val="00BE285B"/>
    <w:rsid w:val="00C02766"/>
    <w:rsid w:val="00C05EB8"/>
    <w:rsid w:val="00C11680"/>
    <w:rsid w:val="00C40EA8"/>
    <w:rsid w:val="00C80D81"/>
    <w:rsid w:val="00C87A4E"/>
    <w:rsid w:val="00C9190B"/>
    <w:rsid w:val="00C94C79"/>
    <w:rsid w:val="00C9700A"/>
    <w:rsid w:val="00CA3313"/>
    <w:rsid w:val="00CF5B1E"/>
    <w:rsid w:val="00D32A09"/>
    <w:rsid w:val="00D46083"/>
    <w:rsid w:val="00D86A18"/>
    <w:rsid w:val="00DB4AA5"/>
    <w:rsid w:val="00E003FD"/>
    <w:rsid w:val="00E96362"/>
    <w:rsid w:val="00EB6FE5"/>
    <w:rsid w:val="00EB7AC5"/>
    <w:rsid w:val="00EC5271"/>
    <w:rsid w:val="00F37AE0"/>
    <w:rsid w:val="00FA2C83"/>
    <w:rsid w:val="00FC1E1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C87A4E"/>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541">
      <w:bodyDiv w:val="1"/>
      <w:marLeft w:val="0"/>
      <w:marRight w:val="0"/>
      <w:marTop w:val="0"/>
      <w:marBottom w:val="0"/>
      <w:divBdr>
        <w:top w:val="none" w:sz="0" w:space="0" w:color="auto"/>
        <w:left w:val="none" w:sz="0" w:space="0" w:color="auto"/>
        <w:bottom w:val="none" w:sz="0" w:space="0" w:color="auto"/>
        <w:right w:val="none" w:sz="0" w:space="0" w:color="auto"/>
      </w:divBdr>
    </w:div>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271058383">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05360674">
      <w:bodyDiv w:val="1"/>
      <w:marLeft w:val="0"/>
      <w:marRight w:val="0"/>
      <w:marTop w:val="0"/>
      <w:marBottom w:val="0"/>
      <w:divBdr>
        <w:top w:val="none" w:sz="0" w:space="0" w:color="auto"/>
        <w:left w:val="none" w:sz="0" w:space="0" w:color="auto"/>
        <w:bottom w:val="none" w:sz="0" w:space="0" w:color="auto"/>
        <w:right w:val="none" w:sz="0" w:space="0" w:color="auto"/>
      </w:divBdr>
    </w:div>
    <w:div w:id="329410153">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698357788">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08782258">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31836159">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64860441">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32212963">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1985574141">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 w:id="2097288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2645</Words>
  <Characters>15606</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16</cp:revision>
  <dcterms:created xsi:type="dcterms:W3CDTF">2022-05-31T13:11:00Z</dcterms:created>
  <dcterms:modified xsi:type="dcterms:W3CDTF">2022-07-05T14:47:00Z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