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62190907" w:rsidR="00A23CE9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757C3292" w14:textId="77777777" w:rsidR="001851D9" w:rsidRDefault="001851D9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36CD9742" w14:textId="11CCFB20" w:rsidR="007257B3" w:rsidRPr="000D063F" w:rsidRDefault="007257B3" w:rsidP="007257B3">
      <w:pPr>
        <w:shd w:val="clear" w:color="auto" w:fill="F7CAAC" w:themeFill="accent2" w:themeFillTint="66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Název veřejné zakázky: </w:t>
      </w:r>
      <w:r w:rsidR="00102271">
        <w:rPr>
          <w:rFonts w:ascii="Calibri" w:eastAsia="Times New Roman" w:hAnsi="Calibri" w:cs="Calibri"/>
          <w:b/>
          <w:sz w:val="28"/>
          <w:szCs w:val="28"/>
          <w:lang w:eastAsia="cs-CZ"/>
        </w:rPr>
        <w:t>Cévní uzávěry</w:t>
      </w:r>
    </w:p>
    <w:p w14:paraId="43152F81" w14:textId="3FD80F0F" w:rsidR="007257B3" w:rsidRDefault="007257B3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EC6865E" w14:textId="011DAEC7" w:rsidR="001851D9" w:rsidRDefault="001851D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AC6A79C" w14:textId="77777777" w:rsidR="001851D9" w:rsidRDefault="001851D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A4BB944" w14:textId="1BE094BA" w:rsidR="00A23CE9" w:rsidRPr="00A23CE9" w:rsidRDefault="00A23CE9" w:rsidP="007257B3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1: </w:t>
      </w:r>
      <w:r w:rsidR="00102271" w:rsidRPr="00102271">
        <w:rPr>
          <w:rFonts w:ascii="Calibri" w:hAnsi="Calibri" w:cs="Calibri"/>
          <w:b/>
          <w:bCs/>
          <w:sz w:val="22"/>
          <w:szCs w:val="22"/>
          <w:u w:val="single"/>
        </w:rPr>
        <w:t>Systémy pro uzavírání vstupů po perkutánních cévních výkonech I</w:t>
      </w:r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78"/>
      </w:tblGrid>
      <w:tr w:rsidR="00ED47D7" w:rsidRPr="00ED47D7" w14:paraId="02A79CCC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FF5" w14:textId="71DF82FC" w:rsidR="00ED47D7" w:rsidRPr="00ED47D7" w:rsidRDefault="00102271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425E">
              <w:t>Systémy pro uzavírání vstupů po perkutánních cévních výkonech 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BDE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2895" w14:textId="3210FF66" w:rsidR="00ED47D7" w:rsidRPr="00CB4BD1" w:rsidRDefault="00ED47D7" w:rsidP="00CB4BD1">
            <w:pPr>
              <w:spacing w:after="0" w:line="240" w:lineRule="auto"/>
              <w:ind w:left="175" w:hanging="150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>Systém pro uzavření místa vpichu na femorální artérii po perkutánních cévních výkonech s extravaskulárním uložením okluze.</w:t>
            </w:r>
          </w:p>
        </w:tc>
      </w:tr>
      <w:tr w:rsidR="00ED47D7" w:rsidRPr="00ED47D7" w14:paraId="44EDC5C4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E83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A055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8FC2" w14:textId="75C44AB6" w:rsidR="00ED47D7" w:rsidRPr="00CB4BD1" w:rsidRDefault="00ED47D7" w:rsidP="00CB4BD1">
            <w:pPr>
              <w:spacing w:after="0" w:line="240" w:lineRule="auto"/>
              <w:ind w:left="175" w:hanging="175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>Extravaskulární hemostatická polymerová zátka.</w:t>
            </w:r>
          </w:p>
        </w:tc>
      </w:tr>
      <w:tr w:rsidR="00ED47D7" w:rsidRPr="00ED47D7" w14:paraId="71C255FF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C43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A3C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0B09" w14:textId="1E1CAFE0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 xml:space="preserve">Bez ponechání jakýchkoliv komponent systému </w:t>
            </w:r>
            <w:proofErr w:type="spellStart"/>
            <w:r w:rsidR="00102271" w:rsidRPr="00102271">
              <w:rPr>
                <w:rFonts w:ascii="Calibri" w:eastAsia="Times New Roman" w:hAnsi="Calibri" w:cs="Calibri"/>
                <w:lang w:eastAsia="cs-CZ"/>
              </w:rPr>
              <w:t>intraluminálně</w:t>
            </w:r>
            <w:proofErr w:type="spellEnd"/>
            <w:r w:rsidR="00102271" w:rsidRPr="00102271">
              <w:rPr>
                <w:rFonts w:ascii="Calibri" w:eastAsia="Times New Roman" w:hAnsi="Calibri" w:cs="Calibri"/>
                <w:lang w:eastAsia="cs-CZ"/>
              </w:rPr>
              <w:t xml:space="preserve"> (bez šití nebo implantátů).</w:t>
            </w:r>
          </w:p>
        </w:tc>
      </w:tr>
      <w:tr w:rsidR="00ED47D7" w:rsidRPr="00ED47D7" w14:paraId="6F5A7F9A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100C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6724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DAEC" w14:textId="18B9235C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>Úplná vstřebatelnost do 90 dní.</w:t>
            </w:r>
          </w:p>
        </w:tc>
      </w:tr>
      <w:tr w:rsidR="00ED47D7" w:rsidRPr="00ED47D7" w14:paraId="3BCB952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E182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741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288EC" w14:textId="14FC52C3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 xml:space="preserve">Kompatibilní s dedikovaným zaváděcím pouzdrem a případně vodičem či </w:t>
            </w:r>
            <w:proofErr w:type="spellStart"/>
            <w:r w:rsidR="00102271" w:rsidRPr="00102271">
              <w:rPr>
                <w:rFonts w:ascii="Calibri" w:eastAsia="Times New Roman" w:hAnsi="Calibri" w:cs="Calibri"/>
                <w:lang w:eastAsia="cs-CZ"/>
              </w:rPr>
              <w:t>mikrovodičem</w:t>
            </w:r>
            <w:proofErr w:type="spellEnd"/>
            <w:r w:rsidR="00102271" w:rsidRPr="00102271">
              <w:rPr>
                <w:rFonts w:ascii="Calibri" w:eastAsia="Times New Roman" w:hAnsi="Calibri" w:cs="Calibri"/>
                <w:lang w:eastAsia="cs-CZ"/>
              </w:rPr>
              <w:t>.</w:t>
            </w:r>
          </w:p>
        </w:tc>
      </w:tr>
      <w:tr w:rsidR="00ED47D7" w:rsidRPr="00ED47D7" w14:paraId="4950CA6B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0E0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5DF7E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A54A" w14:textId="668EEED0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 xml:space="preserve">Velikosti </w:t>
            </w:r>
            <w:proofErr w:type="gramStart"/>
            <w:r w:rsidR="00102271" w:rsidRPr="00102271">
              <w:rPr>
                <w:rFonts w:ascii="Calibri" w:eastAsia="Times New Roman" w:hAnsi="Calibri" w:cs="Calibri"/>
                <w:lang w:eastAsia="cs-CZ"/>
              </w:rPr>
              <w:t>5F</w:t>
            </w:r>
            <w:proofErr w:type="gramEnd"/>
            <w:r w:rsidR="00102271" w:rsidRPr="00102271">
              <w:rPr>
                <w:rFonts w:ascii="Calibri" w:eastAsia="Times New Roman" w:hAnsi="Calibri" w:cs="Calibri"/>
                <w:lang w:eastAsia="cs-CZ"/>
              </w:rPr>
              <w:t xml:space="preserve"> až 7F.</w:t>
            </w:r>
          </w:p>
        </w:tc>
      </w:tr>
      <w:tr w:rsidR="00ED47D7" w:rsidRPr="00ED47D7" w14:paraId="646861F9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501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B822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BD28" w14:textId="1D84155F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>Možnost opakované punkce v místě vpichu.</w:t>
            </w:r>
          </w:p>
        </w:tc>
      </w:tr>
      <w:tr w:rsidR="00ED47D7" w:rsidRPr="00ED47D7" w14:paraId="0FD2A6A7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816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F34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B580" w14:textId="22BCBB46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102271" w:rsidRPr="00102271">
              <w:rPr>
                <w:rFonts w:ascii="Calibri" w:eastAsia="Times New Roman" w:hAnsi="Calibri" w:cs="Calibri"/>
                <w:lang w:eastAsia="cs-CZ"/>
              </w:rPr>
              <w:t>Manuální i automatizovaná varianta.</w:t>
            </w:r>
          </w:p>
        </w:tc>
      </w:tr>
    </w:tbl>
    <w:p w14:paraId="21AD1445" w14:textId="035D7B03" w:rsidR="00D6743D" w:rsidRDefault="00D6743D" w:rsidP="0010227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444D544" w14:textId="725D5EF3" w:rsidR="005B3412" w:rsidRDefault="005B3412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031093C8" w14:textId="2E020ABE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1F62DF83" w14:textId="2F256FD2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A3F8CDA" w14:textId="030B5E91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66378C35" w14:textId="7C0ABB8C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2C9E916" w14:textId="56FFDB50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08D829A" w14:textId="77777777" w:rsidR="001851D9" w:rsidRPr="00C50940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951A7BD" w14:textId="77777777" w:rsidR="00ED47D7" w:rsidRDefault="00ED47D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595C6BD2" w14:textId="45BDECA3" w:rsidR="00A23CE9" w:rsidRPr="00A23CE9" w:rsidRDefault="00A23CE9" w:rsidP="003D1F19">
      <w:pPr>
        <w:pStyle w:val="Styl1"/>
        <w:pBdr>
          <w:bottom w:val="none" w:sz="0" w:space="0" w:color="auto"/>
        </w:pBdr>
        <w:shd w:val="clear" w:color="auto" w:fill="BDD6EE" w:themeFill="accent1" w:themeFillTint="66"/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 w:rsidR="00E73B8B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102271" w:rsidRPr="00102271">
        <w:rPr>
          <w:rFonts w:ascii="Calibri" w:hAnsi="Calibri" w:cs="Calibri"/>
          <w:b/>
          <w:bCs/>
          <w:sz w:val="22"/>
          <w:szCs w:val="22"/>
          <w:u w:val="single"/>
        </w:rPr>
        <w:t>Systémy pro uzavírání vstupů po perkutánních cévních výkonech II</w:t>
      </w:r>
    </w:p>
    <w:p w14:paraId="714058E9" w14:textId="0DC61A6B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</w:t>
      </w:r>
      <w:r w:rsidR="006979BA">
        <w:rPr>
          <w:rFonts w:ascii="Calibri" w:hAnsi="Calibri"/>
          <w:b/>
          <w:bCs/>
          <w:color w:val="auto"/>
          <w:sz w:val="22"/>
          <w:szCs w:val="22"/>
        </w:rPr>
        <w:t>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60"/>
        <w:gridCol w:w="5084"/>
      </w:tblGrid>
      <w:tr w:rsidR="00ED47D7" w:rsidRPr="00ED47D7" w14:paraId="66523483" w14:textId="77777777" w:rsidTr="005E7C94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4393" w14:textId="3B25A5AC" w:rsidR="00ED47D7" w:rsidRPr="00ED47D7" w:rsidRDefault="00102271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3425E">
              <w:t>Systémy pro uzavírání vstupů po perkutánních cévních výkonech II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496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693" w14:textId="16D97681" w:rsidR="00ED47D7" w:rsidRPr="00CB4BD1" w:rsidRDefault="00ED47D7" w:rsidP="00CB4BD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>Vaskulární uzavírací zařízení místa vpichu na femorální artérii po perkutánních cévních výkonech, přímá, mechanická hemostáza.</w:t>
            </w:r>
          </w:p>
        </w:tc>
      </w:tr>
      <w:tr w:rsidR="00ED47D7" w:rsidRPr="00ED47D7" w14:paraId="74BB1E38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1E68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296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92BD" w14:textId="32B91A37" w:rsidR="00ED47D7" w:rsidRPr="00CB4BD1" w:rsidRDefault="00ED47D7" w:rsidP="00CB4BD1">
            <w:pPr>
              <w:spacing w:after="0" w:line="240" w:lineRule="auto"/>
              <w:ind w:left="212" w:hanging="141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Sendvičová technika s </w:t>
            </w:r>
            <w:proofErr w:type="spellStart"/>
            <w:r w:rsidR="006C7B22" w:rsidRPr="006C7B22">
              <w:rPr>
                <w:rFonts w:ascii="Calibri" w:eastAsia="Times New Roman" w:hAnsi="Calibri" w:cs="Calibri"/>
                <w:lang w:eastAsia="cs-CZ"/>
              </w:rPr>
              <w:t>bioabsorbovatelnou</w:t>
            </w:r>
            <w:proofErr w:type="spellEnd"/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proofErr w:type="spellStart"/>
            <w:r w:rsidR="006C7B22" w:rsidRPr="006C7B22">
              <w:rPr>
                <w:rFonts w:ascii="Calibri" w:eastAsia="Times New Roman" w:hAnsi="Calibri" w:cs="Calibri"/>
                <w:lang w:eastAsia="cs-CZ"/>
              </w:rPr>
              <w:t>endovaskulární</w:t>
            </w:r>
            <w:proofErr w:type="spellEnd"/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 kotvou a zevní kolagenovou zátkou.</w:t>
            </w:r>
          </w:p>
        </w:tc>
      </w:tr>
      <w:tr w:rsidR="00ED47D7" w:rsidRPr="00ED47D7" w14:paraId="49158D6D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481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D2F3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8A26" w14:textId="162EA710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>Kotva z vnitřní stěny cévy a zátka z vnější strany cévy jsou propojené biodegradabilním vláknem.</w:t>
            </w:r>
          </w:p>
        </w:tc>
      </w:tr>
      <w:tr w:rsidR="00ED47D7" w:rsidRPr="00ED47D7" w14:paraId="60DAB4BC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5C39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D77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D0A3" w14:textId="5C1B3AFB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Plně rozpustitelné během </w:t>
            </w:r>
            <w:proofErr w:type="gramStart"/>
            <w:r w:rsidR="006C7B22" w:rsidRPr="006C7B22">
              <w:rPr>
                <w:rFonts w:ascii="Calibri" w:eastAsia="Times New Roman" w:hAnsi="Calibri" w:cs="Calibri"/>
                <w:lang w:eastAsia="cs-CZ"/>
              </w:rPr>
              <w:t>60 - 90</w:t>
            </w:r>
            <w:proofErr w:type="gramEnd"/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 dní.</w:t>
            </w:r>
          </w:p>
        </w:tc>
      </w:tr>
      <w:tr w:rsidR="00ED47D7" w:rsidRPr="00ED47D7" w14:paraId="1C83342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80FD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4AF1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E202" w14:textId="773A36B5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Velikost </w:t>
            </w:r>
            <w:proofErr w:type="gramStart"/>
            <w:r w:rsidR="006C7B22" w:rsidRPr="006C7B22">
              <w:rPr>
                <w:rFonts w:ascii="Calibri" w:eastAsia="Times New Roman" w:hAnsi="Calibri" w:cs="Calibri"/>
                <w:lang w:eastAsia="cs-CZ"/>
              </w:rPr>
              <w:t>6F</w:t>
            </w:r>
            <w:proofErr w:type="gramEnd"/>
            <w:r w:rsidR="006C7B22" w:rsidRPr="006C7B22">
              <w:rPr>
                <w:rFonts w:ascii="Calibri" w:eastAsia="Times New Roman" w:hAnsi="Calibri" w:cs="Calibri"/>
                <w:lang w:eastAsia="cs-CZ"/>
              </w:rPr>
              <w:t xml:space="preserve"> (vodič .035") a 8F (vodič .038").</w:t>
            </w:r>
          </w:p>
        </w:tc>
      </w:tr>
      <w:tr w:rsidR="00ED47D7" w:rsidRPr="00ED47D7" w14:paraId="5CCD94B1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A1D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3A1E0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C4D9" w14:textId="5DAA9AAF" w:rsidR="00ED47D7" w:rsidRPr="00CB4BD1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>Manuální i automatizovaná varianta.</w:t>
            </w:r>
          </w:p>
        </w:tc>
      </w:tr>
      <w:tr w:rsidR="00ED47D7" w:rsidRPr="00ED47D7" w14:paraId="18A2F816" w14:textId="77777777" w:rsidTr="005E7C94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3EAA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ED47D7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DCF7" w14:textId="77777777" w:rsidR="00ED47D7" w:rsidRPr="00ED47D7" w:rsidRDefault="00ED47D7" w:rsidP="00ED47D7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5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EE70" w14:textId="4E5D479F" w:rsidR="00ED47D7" w:rsidRPr="00CB4BD1" w:rsidRDefault="00ED47D7" w:rsidP="00CB4BD1">
            <w:pPr>
              <w:spacing w:after="0" w:line="240" w:lineRule="auto"/>
              <w:ind w:left="212" w:hanging="212"/>
              <w:rPr>
                <w:rFonts w:ascii="Calibri" w:eastAsia="Times New Roman" w:hAnsi="Calibri" w:cs="Calibri"/>
                <w:lang w:eastAsia="cs-CZ"/>
              </w:rPr>
            </w:pPr>
            <w:r w:rsidRPr="00CB4BD1">
              <w:rPr>
                <w:rFonts w:ascii="Calibri" w:eastAsia="Times New Roman" w:hAnsi="Calibri" w:cs="Calibri"/>
                <w:lang w:eastAsia="cs-CZ"/>
              </w:rPr>
              <w:t xml:space="preserve">• </w:t>
            </w:r>
            <w:r w:rsidR="006C7B22" w:rsidRPr="006C7B22">
              <w:rPr>
                <w:rFonts w:ascii="Calibri" w:eastAsia="Times New Roman" w:hAnsi="Calibri" w:cs="Calibri"/>
                <w:lang w:eastAsia="cs-CZ"/>
              </w:rPr>
              <w:t>V balení vlastní uzavírací systém vč. dilatátoru a zaváděcího vodiče s "J" zakončením.</w:t>
            </w:r>
          </w:p>
        </w:tc>
      </w:tr>
    </w:tbl>
    <w:p w14:paraId="43CE9E4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AD8F3C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FBAF8F7" w14:textId="77777777" w:rsidR="00ED47D7" w:rsidRPr="000D063F" w:rsidRDefault="00ED47D7" w:rsidP="000D063F"/>
    <w:sectPr w:rsidR="00ED47D7" w:rsidRPr="000D063F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6088A"/>
    <w:multiLevelType w:val="hybridMultilevel"/>
    <w:tmpl w:val="A50AED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87037"/>
    <w:rsid w:val="000D063F"/>
    <w:rsid w:val="000E3766"/>
    <w:rsid w:val="00102271"/>
    <w:rsid w:val="00102EF3"/>
    <w:rsid w:val="001851D9"/>
    <w:rsid w:val="003579E7"/>
    <w:rsid w:val="003D1F19"/>
    <w:rsid w:val="003E5E6D"/>
    <w:rsid w:val="003F54AC"/>
    <w:rsid w:val="00506065"/>
    <w:rsid w:val="00564ED8"/>
    <w:rsid w:val="005B226B"/>
    <w:rsid w:val="005B3412"/>
    <w:rsid w:val="005E7C94"/>
    <w:rsid w:val="006979BA"/>
    <w:rsid w:val="006C7B22"/>
    <w:rsid w:val="007257B3"/>
    <w:rsid w:val="007F6107"/>
    <w:rsid w:val="00853D10"/>
    <w:rsid w:val="008800F1"/>
    <w:rsid w:val="008F36D3"/>
    <w:rsid w:val="00914118"/>
    <w:rsid w:val="00937596"/>
    <w:rsid w:val="009B15AC"/>
    <w:rsid w:val="009C4A4F"/>
    <w:rsid w:val="00A23CE9"/>
    <w:rsid w:val="00AD2151"/>
    <w:rsid w:val="00CB4BD1"/>
    <w:rsid w:val="00D6743D"/>
    <w:rsid w:val="00E72941"/>
    <w:rsid w:val="00E73B8B"/>
    <w:rsid w:val="00E94DE9"/>
    <w:rsid w:val="00EC2923"/>
    <w:rsid w:val="00ED47D7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14</cp:revision>
  <dcterms:created xsi:type="dcterms:W3CDTF">2021-09-01T10:38:00Z</dcterms:created>
  <dcterms:modified xsi:type="dcterms:W3CDTF">2022-03-28T08:00:00Z</dcterms:modified>
</cp:coreProperties>
</file>