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AD6D03" w14:textId="77777777" w:rsidR="00027191" w:rsidRDefault="00027191">
      <w:pPr>
        <w:jc w:val="both"/>
        <w:outlineLvl w:val="0"/>
        <w:rPr>
          <w:rFonts w:ascii="Calibri" w:eastAsia="Calibri" w:hAnsi="Calibri" w:cs="Arial"/>
          <w:b/>
          <w:sz w:val="28"/>
          <w:szCs w:val="28"/>
          <w:lang w:eastAsia="en-US"/>
        </w:rPr>
      </w:pPr>
    </w:p>
    <w:p w14:paraId="1E3BF045" w14:textId="18B770BC" w:rsidR="00027191" w:rsidRDefault="00FA6D3D">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89080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w:t>
      </w:r>
    </w:p>
    <w:p w14:paraId="7C7D5B48" w14:textId="77777777" w:rsidR="00027191" w:rsidRDefault="00027191">
      <w:pPr>
        <w:jc w:val="both"/>
        <w:outlineLvl w:val="0"/>
        <w:rPr>
          <w:rFonts w:ascii="Calibri" w:eastAsia="Calibri" w:hAnsi="Calibri" w:cs="Arial"/>
          <w:b/>
          <w:sz w:val="28"/>
          <w:szCs w:val="28"/>
          <w:lang w:eastAsia="en-US"/>
        </w:rPr>
      </w:pPr>
    </w:p>
    <w:p w14:paraId="7023DFA6" w14:textId="724154AA" w:rsidR="00027191" w:rsidRDefault="00FA6D3D">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89080E">
        <w:rPr>
          <w:rFonts w:ascii="Calibri" w:hAnsi="Calibri"/>
          <w:b/>
          <w:sz w:val="28"/>
          <w:szCs w:val="28"/>
        </w:rPr>
        <w:t>2</w:t>
      </w:r>
      <w:r>
        <w:rPr>
          <w:rFonts w:ascii="Calibri" w:hAnsi="Calibri"/>
          <w:b/>
          <w:sz w:val="28"/>
          <w:szCs w:val="28"/>
        </w:rPr>
        <w:t xml:space="preserve"> tvoří nedílnou součást nabídky účastníka zadávacího řízení.</w:t>
      </w:r>
    </w:p>
    <w:p w14:paraId="2B47E54F" w14:textId="77777777" w:rsidR="00027191" w:rsidRDefault="00027191">
      <w:pPr>
        <w:jc w:val="both"/>
        <w:outlineLvl w:val="0"/>
        <w:rPr>
          <w:rFonts w:ascii="Calibri" w:eastAsia="Calibri" w:hAnsi="Calibri" w:cs="Arial"/>
          <w:b/>
          <w:sz w:val="28"/>
          <w:szCs w:val="28"/>
          <w:lang w:eastAsia="en-US"/>
        </w:rPr>
      </w:pPr>
    </w:p>
    <w:p w14:paraId="0034C0E0" w14:textId="77777777" w:rsidR="00027191" w:rsidRDefault="00FA6D3D">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02D7F532" w14:textId="7F459C44" w:rsidR="00027191" w:rsidRDefault="00450E95">
      <w:pPr>
        <w:pStyle w:val="Nadpis8"/>
        <w:shd w:val="clear" w:color="auto" w:fill="FFD966"/>
        <w:jc w:val="left"/>
      </w:pPr>
      <w:r w:rsidRPr="00450E95">
        <w:t>Ventilátor</w:t>
      </w:r>
      <w:r w:rsidR="00810151">
        <w:t>y</w:t>
      </w:r>
      <w:r w:rsidRPr="00450E95">
        <w:t xml:space="preserve"> plicní pro děti a dospělé</w:t>
      </w:r>
    </w:p>
    <w:p w14:paraId="31E62BE6" w14:textId="77777777" w:rsidR="00027191" w:rsidRDefault="00027191">
      <w:pPr>
        <w:jc w:val="both"/>
        <w:rPr>
          <w:rFonts w:asciiTheme="minorHAnsi" w:hAnsiTheme="minorHAnsi" w:cs="Arial"/>
          <w:b/>
          <w:bCs/>
          <w:sz w:val="24"/>
        </w:rPr>
      </w:pPr>
    </w:p>
    <w:p w14:paraId="30B79DAC" w14:textId="77777777" w:rsidR="00027191" w:rsidRDefault="00FA6D3D">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F28A80E" w14:textId="77777777" w:rsidR="00027191" w:rsidRDefault="00FA6D3D">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25C3C906" w14:textId="77777777" w:rsidR="00027191" w:rsidRDefault="00027191">
      <w:pPr>
        <w:pStyle w:val="Zkladntext2"/>
        <w:rPr>
          <w:rFonts w:ascii="Calibri" w:hAnsi="Calibri" w:cs="Arial"/>
          <w:sz w:val="22"/>
          <w:szCs w:val="22"/>
        </w:rPr>
      </w:pPr>
    </w:p>
    <w:p w14:paraId="21990EC7" w14:textId="571A2697" w:rsidR="00027191" w:rsidRDefault="00810151">
      <w:pPr>
        <w:jc w:val="both"/>
        <w:rPr>
          <w:rFonts w:ascii="Calibri" w:hAnsi="Calibri" w:cs="Arial"/>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07D8A331" w14:textId="77777777" w:rsidR="00027191" w:rsidRDefault="00027191">
      <w:pPr>
        <w:suppressAutoHyphens/>
        <w:spacing w:after="160" w:line="276" w:lineRule="auto"/>
        <w:contextualSpacing/>
        <w:rPr>
          <w:rFonts w:ascii="Calibri" w:hAnsi="Calibri" w:cs="Arial"/>
          <w:sz w:val="22"/>
          <w:szCs w:val="22"/>
        </w:rPr>
      </w:pPr>
    </w:p>
    <w:p w14:paraId="1CF93970" w14:textId="4B8A59E2" w:rsidR="00027191" w:rsidRDefault="00FA6D3D" w:rsidP="00810151">
      <w:pPr>
        <w:pStyle w:val="Nadpis2"/>
        <w:numPr>
          <w:ilvl w:val="0"/>
          <w:numId w:val="3"/>
        </w:numPr>
        <w:rPr>
          <w:sz w:val="28"/>
          <w:szCs w:val="28"/>
        </w:rPr>
      </w:pPr>
      <w:r>
        <w:rPr>
          <w:sz w:val="28"/>
          <w:szCs w:val="28"/>
        </w:rPr>
        <w:t>Technické parametry</w:t>
      </w:r>
    </w:p>
    <w:p w14:paraId="201D3EBA" w14:textId="77777777" w:rsidR="00027191" w:rsidRDefault="00027191">
      <w:pPr>
        <w:rPr>
          <w:lang w:eastAsia="en-US"/>
        </w:rPr>
      </w:pPr>
    </w:p>
    <w:p w14:paraId="1CFC3286" w14:textId="77777777" w:rsidR="00027191" w:rsidRDefault="00027191">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27191" w14:paraId="70E99DC6" w14:textId="77777777" w:rsidTr="00810151">
        <w:trPr>
          <w:trHeight w:val="387"/>
          <w:tblHeader/>
        </w:trPr>
        <w:tc>
          <w:tcPr>
            <w:tcW w:w="4536" w:type="dxa"/>
            <w:shd w:val="clear" w:color="auto" w:fill="BDD6EE" w:themeFill="accent1" w:themeFillTint="66"/>
            <w:vAlign w:val="center"/>
          </w:tcPr>
          <w:p w14:paraId="122B0710" w14:textId="77777777" w:rsidR="00027191" w:rsidRDefault="00FA6D3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17BAB620" w14:textId="02DED675" w:rsidR="00027191" w:rsidRDefault="00810151">
            <w:r>
              <w:rPr>
                <w:rFonts w:asciiTheme="minorHAnsi" w:hAnsiTheme="minorHAnsi"/>
                <w:b/>
                <w:bCs/>
                <w:sz w:val="28"/>
                <w:szCs w:val="28"/>
              </w:rPr>
              <w:t>Plicní ventilátor pro děti a dospělé – 10 ks</w:t>
            </w:r>
          </w:p>
        </w:tc>
      </w:tr>
      <w:tr w:rsidR="00027191" w14:paraId="17710324" w14:textId="77777777">
        <w:tc>
          <w:tcPr>
            <w:tcW w:w="4536" w:type="dxa"/>
            <w:shd w:val="clear" w:color="auto" w:fill="F7CAAC" w:themeFill="accent2" w:themeFillTint="66"/>
          </w:tcPr>
          <w:p w14:paraId="4D569EF4" w14:textId="77777777" w:rsidR="00027191" w:rsidRDefault="00FA6D3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F1CD162" w14:textId="77777777" w:rsidR="00027191" w:rsidRDefault="00FA6D3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F994ECD" w14:textId="77777777" w:rsidR="00027191" w:rsidRDefault="00FA6D3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27191" w14:paraId="27E7561D" w14:textId="77777777">
        <w:tc>
          <w:tcPr>
            <w:tcW w:w="4536" w:type="dxa"/>
            <w:shd w:val="clear" w:color="auto" w:fill="auto"/>
          </w:tcPr>
          <w:p w14:paraId="6592286F" w14:textId="77777777" w:rsidR="00027191" w:rsidRDefault="00FA6D3D">
            <w:pPr>
              <w:rPr>
                <w:rFonts w:ascii="CIDFont+F2" w:hAnsi="CIDFont+F2"/>
                <w:szCs w:val="20"/>
              </w:rPr>
            </w:pPr>
            <w:r>
              <w:rPr>
                <w:szCs w:val="20"/>
              </w:rPr>
              <w:t>Široká nabídka ventilačních režimů: CMV, SIMV, PCV, P-SIMV</w:t>
            </w:r>
          </w:p>
        </w:tc>
        <w:tc>
          <w:tcPr>
            <w:tcW w:w="1276" w:type="dxa"/>
            <w:shd w:val="clear" w:color="auto" w:fill="auto"/>
            <w:vAlign w:val="center"/>
          </w:tcPr>
          <w:p w14:paraId="3326188B"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57886DC0"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75CC9A3A" w14:textId="77777777">
        <w:tc>
          <w:tcPr>
            <w:tcW w:w="4536" w:type="dxa"/>
            <w:shd w:val="clear" w:color="auto" w:fill="auto"/>
          </w:tcPr>
          <w:p w14:paraId="70DF5792" w14:textId="77777777" w:rsidR="00027191" w:rsidRDefault="00FA6D3D">
            <w:pPr>
              <w:rPr>
                <w:rFonts w:ascii="CIDFont+F2" w:hAnsi="CIDFont+F2"/>
                <w:szCs w:val="20"/>
              </w:rPr>
            </w:pPr>
            <w:r>
              <w:rPr>
                <w:szCs w:val="20"/>
              </w:rPr>
              <w:t>ventilace na dvou tlakových hladinách s tlakovou podporou APRV</w:t>
            </w:r>
          </w:p>
        </w:tc>
        <w:tc>
          <w:tcPr>
            <w:tcW w:w="1276" w:type="dxa"/>
            <w:shd w:val="clear" w:color="auto" w:fill="auto"/>
            <w:vAlign w:val="center"/>
          </w:tcPr>
          <w:p w14:paraId="432F6F5B"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0DCFBE85"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495A1C88" w14:textId="77777777">
        <w:tc>
          <w:tcPr>
            <w:tcW w:w="4536" w:type="dxa"/>
            <w:shd w:val="clear" w:color="auto" w:fill="auto"/>
          </w:tcPr>
          <w:p w14:paraId="45459FD3" w14:textId="77777777" w:rsidR="00027191" w:rsidRDefault="00FA6D3D">
            <w:pPr>
              <w:rPr>
                <w:rFonts w:ascii="CIDFont+F2" w:hAnsi="CIDFont+F2"/>
                <w:szCs w:val="20"/>
              </w:rPr>
            </w:pPr>
            <w:r>
              <w:rPr>
                <w:szCs w:val="20"/>
              </w:rPr>
              <w:t>spontánní ventilace s tlakovou podporou, NIV, PRVC nebo ekvivalent</w:t>
            </w:r>
          </w:p>
        </w:tc>
        <w:tc>
          <w:tcPr>
            <w:tcW w:w="1276" w:type="dxa"/>
            <w:shd w:val="clear" w:color="auto" w:fill="auto"/>
            <w:vAlign w:val="center"/>
          </w:tcPr>
          <w:p w14:paraId="1B114C21"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01A245BD"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4562231C" w14:textId="77777777">
        <w:tc>
          <w:tcPr>
            <w:tcW w:w="4536" w:type="dxa"/>
            <w:shd w:val="clear" w:color="auto" w:fill="auto"/>
          </w:tcPr>
          <w:p w14:paraId="21056214" w14:textId="77777777" w:rsidR="00027191" w:rsidRDefault="00FA6D3D">
            <w:pPr>
              <w:rPr>
                <w:rFonts w:ascii="CIDFont+F2" w:hAnsi="CIDFont+F2"/>
                <w:szCs w:val="20"/>
              </w:rPr>
            </w:pPr>
            <w:r>
              <w:rPr>
                <w:szCs w:val="20"/>
              </w:rPr>
              <w:t>objemem kontrolovaná tlakem řízená ventilace v základní výbavě</w:t>
            </w:r>
          </w:p>
        </w:tc>
        <w:tc>
          <w:tcPr>
            <w:tcW w:w="1276" w:type="dxa"/>
            <w:shd w:val="clear" w:color="auto" w:fill="auto"/>
            <w:vAlign w:val="center"/>
          </w:tcPr>
          <w:p w14:paraId="669061F2"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C0A6218"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12C9443C" w14:textId="77777777">
        <w:tc>
          <w:tcPr>
            <w:tcW w:w="4536" w:type="dxa"/>
            <w:shd w:val="clear" w:color="auto" w:fill="auto"/>
          </w:tcPr>
          <w:p w14:paraId="60E9D4B1" w14:textId="77777777" w:rsidR="00027191" w:rsidRDefault="00FA6D3D">
            <w:r>
              <w:rPr>
                <w:szCs w:val="20"/>
              </w:rPr>
              <w:t>Automatický nebo odvykací režim pro pacienty s</w:t>
            </w:r>
          </w:p>
          <w:p w14:paraId="05917D3F" w14:textId="77777777" w:rsidR="00027191" w:rsidRDefault="00FA6D3D">
            <w:r>
              <w:rPr>
                <w:szCs w:val="20"/>
              </w:rPr>
              <w:t xml:space="preserve">dechovou aktivitou i bez dechové aktivity s automatickou regulací a optimalizací frekvence řízených dechů, inspiračních tlaků/tlakové podpory </w:t>
            </w:r>
          </w:p>
        </w:tc>
        <w:tc>
          <w:tcPr>
            <w:tcW w:w="1276" w:type="dxa"/>
            <w:shd w:val="clear" w:color="auto" w:fill="auto"/>
            <w:vAlign w:val="center"/>
          </w:tcPr>
          <w:p w14:paraId="397E7F6D"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4EB5283"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290DD557" w14:textId="77777777">
        <w:tc>
          <w:tcPr>
            <w:tcW w:w="4536" w:type="dxa"/>
            <w:shd w:val="clear" w:color="auto" w:fill="auto"/>
          </w:tcPr>
          <w:p w14:paraId="4E4B60B4" w14:textId="77777777" w:rsidR="00027191" w:rsidRDefault="00FA6D3D">
            <w:pPr>
              <w:rPr>
                <w:rFonts w:ascii="CIDFont+F2" w:hAnsi="CIDFont+F2"/>
                <w:szCs w:val="20"/>
              </w:rPr>
            </w:pPr>
            <w:r>
              <w:rPr>
                <w:szCs w:val="20"/>
              </w:rPr>
              <w:t>Automatické přepínání mezi řízenou</w:t>
            </w:r>
          </w:p>
          <w:p w14:paraId="3CC9A7FE" w14:textId="77777777" w:rsidR="00027191" w:rsidRDefault="00FA6D3D">
            <w:pPr>
              <w:rPr>
                <w:rFonts w:ascii="Tahoma" w:hAnsi="Tahoma" w:cs="Tahoma"/>
                <w:szCs w:val="20"/>
              </w:rPr>
            </w:pPr>
            <w:r>
              <w:rPr>
                <w:szCs w:val="20"/>
              </w:rPr>
              <w:t>a podpůrnou ventilací v závislosti na dechovém úsilí pacienta</w:t>
            </w:r>
          </w:p>
        </w:tc>
        <w:tc>
          <w:tcPr>
            <w:tcW w:w="1276" w:type="dxa"/>
            <w:shd w:val="clear" w:color="auto" w:fill="auto"/>
            <w:vAlign w:val="center"/>
          </w:tcPr>
          <w:p w14:paraId="1F3E8382"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3C47C999"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2A1BC3C8" w14:textId="77777777">
        <w:tc>
          <w:tcPr>
            <w:tcW w:w="4536" w:type="dxa"/>
            <w:shd w:val="clear" w:color="auto" w:fill="auto"/>
          </w:tcPr>
          <w:p w14:paraId="12BE2D85" w14:textId="77777777" w:rsidR="00027191" w:rsidRDefault="00FA6D3D">
            <w:pPr>
              <w:rPr>
                <w:rFonts w:ascii="CIDFont+F2" w:hAnsi="CIDFont+F2"/>
                <w:szCs w:val="20"/>
              </w:rPr>
            </w:pPr>
            <w:proofErr w:type="spellStart"/>
            <w:r>
              <w:rPr>
                <w:szCs w:val="20"/>
              </w:rPr>
              <w:t>Apnea</w:t>
            </w:r>
            <w:proofErr w:type="spellEnd"/>
            <w:r>
              <w:rPr>
                <w:szCs w:val="20"/>
              </w:rPr>
              <w:t xml:space="preserve"> zálohová ventilace s automatickým návratem do původního režimu při návratu dechové aktivity</w:t>
            </w:r>
          </w:p>
        </w:tc>
        <w:tc>
          <w:tcPr>
            <w:tcW w:w="1276" w:type="dxa"/>
            <w:shd w:val="clear" w:color="auto" w:fill="auto"/>
            <w:vAlign w:val="center"/>
          </w:tcPr>
          <w:p w14:paraId="24E502A9"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00A3E1D8"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764ED90B" w14:textId="77777777">
        <w:tc>
          <w:tcPr>
            <w:tcW w:w="4536" w:type="dxa"/>
            <w:shd w:val="clear" w:color="auto" w:fill="auto"/>
          </w:tcPr>
          <w:p w14:paraId="06329EDC" w14:textId="77777777" w:rsidR="00027191" w:rsidRDefault="00FA6D3D">
            <w:pPr>
              <w:rPr>
                <w:rFonts w:ascii="CIDFont+F2" w:hAnsi="CIDFont+F2"/>
                <w:szCs w:val="20"/>
              </w:rPr>
            </w:pPr>
            <w:r>
              <w:rPr>
                <w:szCs w:val="20"/>
              </w:rPr>
              <w:t xml:space="preserve">Nastavení PEEP alespoň </w:t>
            </w:r>
            <w:proofErr w:type="gramStart"/>
            <w:r>
              <w:rPr>
                <w:szCs w:val="20"/>
              </w:rPr>
              <w:t>0-50cm</w:t>
            </w:r>
            <w:proofErr w:type="gramEnd"/>
            <w:r>
              <w:rPr>
                <w:szCs w:val="20"/>
              </w:rPr>
              <w:t xml:space="preserve"> H2O</w:t>
            </w:r>
          </w:p>
          <w:p w14:paraId="5F051CAC" w14:textId="77777777" w:rsidR="00027191" w:rsidRDefault="00027191">
            <w:pPr>
              <w:rPr>
                <w:szCs w:val="20"/>
              </w:rPr>
            </w:pPr>
          </w:p>
        </w:tc>
        <w:tc>
          <w:tcPr>
            <w:tcW w:w="1276" w:type="dxa"/>
            <w:shd w:val="clear" w:color="auto" w:fill="auto"/>
            <w:vAlign w:val="center"/>
          </w:tcPr>
          <w:p w14:paraId="6229E443"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7C26C48A"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777365CB" w14:textId="77777777">
        <w:tc>
          <w:tcPr>
            <w:tcW w:w="4536" w:type="dxa"/>
            <w:shd w:val="clear" w:color="auto" w:fill="auto"/>
          </w:tcPr>
          <w:p w14:paraId="49E95F06" w14:textId="77777777" w:rsidR="00027191" w:rsidRDefault="00FA6D3D">
            <w:r>
              <w:rPr>
                <w:szCs w:val="20"/>
              </w:rPr>
              <w:t xml:space="preserve">Nastavení inspiračního tlaku alespoň </w:t>
            </w:r>
            <w:proofErr w:type="gramStart"/>
            <w:r>
              <w:rPr>
                <w:szCs w:val="20"/>
              </w:rPr>
              <w:t>5-90cm</w:t>
            </w:r>
            <w:proofErr w:type="gramEnd"/>
            <w:r>
              <w:rPr>
                <w:szCs w:val="20"/>
              </w:rPr>
              <w:t xml:space="preserve"> H2O</w:t>
            </w:r>
          </w:p>
          <w:p w14:paraId="18EF55E7" w14:textId="77777777" w:rsidR="00027191" w:rsidRDefault="00027191">
            <w:pPr>
              <w:rPr>
                <w:rFonts w:cs="Tahoma"/>
                <w:szCs w:val="20"/>
              </w:rPr>
            </w:pPr>
          </w:p>
        </w:tc>
        <w:tc>
          <w:tcPr>
            <w:tcW w:w="1276" w:type="dxa"/>
            <w:shd w:val="clear" w:color="auto" w:fill="auto"/>
            <w:vAlign w:val="center"/>
          </w:tcPr>
          <w:p w14:paraId="30BF47E6"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3536193F"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638BA7E6" w14:textId="77777777">
        <w:tc>
          <w:tcPr>
            <w:tcW w:w="4536" w:type="dxa"/>
            <w:shd w:val="clear" w:color="auto" w:fill="auto"/>
          </w:tcPr>
          <w:p w14:paraId="211509C5" w14:textId="77777777" w:rsidR="00027191" w:rsidRDefault="00FA6D3D">
            <w:pPr>
              <w:rPr>
                <w:rFonts w:ascii="CIDFont+F2" w:hAnsi="CIDFont+F2"/>
                <w:szCs w:val="20"/>
              </w:rPr>
            </w:pPr>
            <w:r>
              <w:rPr>
                <w:szCs w:val="20"/>
              </w:rPr>
              <w:t xml:space="preserve">Nastavení dechový objem alespoň </w:t>
            </w:r>
            <w:proofErr w:type="gramStart"/>
            <w:r>
              <w:rPr>
                <w:szCs w:val="20"/>
              </w:rPr>
              <w:t>20-2000ml</w:t>
            </w:r>
            <w:proofErr w:type="gramEnd"/>
          </w:p>
          <w:p w14:paraId="3F248922" w14:textId="77777777" w:rsidR="00027191" w:rsidRDefault="00027191">
            <w:pPr>
              <w:tabs>
                <w:tab w:val="left" w:pos="1185"/>
              </w:tabs>
              <w:rPr>
                <w:rFonts w:cs="Tahoma"/>
                <w:b/>
                <w:bCs/>
                <w:szCs w:val="20"/>
              </w:rPr>
            </w:pPr>
          </w:p>
        </w:tc>
        <w:tc>
          <w:tcPr>
            <w:tcW w:w="1276" w:type="dxa"/>
            <w:shd w:val="clear" w:color="auto" w:fill="auto"/>
            <w:vAlign w:val="center"/>
          </w:tcPr>
          <w:p w14:paraId="77ADAA86"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5C73DA54"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618BD837" w14:textId="77777777">
        <w:tc>
          <w:tcPr>
            <w:tcW w:w="4536" w:type="dxa"/>
            <w:shd w:val="clear" w:color="auto" w:fill="auto"/>
          </w:tcPr>
          <w:p w14:paraId="7FB50528" w14:textId="77777777" w:rsidR="00027191" w:rsidRDefault="00FA6D3D">
            <w:pPr>
              <w:rPr>
                <w:rFonts w:ascii="CIDFont+F2" w:hAnsi="CIDFont+F2"/>
                <w:szCs w:val="20"/>
              </w:rPr>
            </w:pPr>
            <w:r>
              <w:rPr>
                <w:szCs w:val="20"/>
              </w:rPr>
              <w:lastRenderedPageBreak/>
              <w:t>Nastavení FiO2: 21-100%</w:t>
            </w:r>
          </w:p>
          <w:p w14:paraId="5E93D13B" w14:textId="77777777" w:rsidR="00027191" w:rsidRDefault="00027191">
            <w:pPr>
              <w:jc w:val="center"/>
              <w:rPr>
                <w:rFonts w:cs="Tahoma"/>
                <w:szCs w:val="20"/>
              </w:rPr>
            </w:pPr>
          </w:p>
        </w:tc>
        <w:tc>
          <w:tcPr>
            <w:tcW w:w="1276" w:type="dxa"/>
            <w:shd w:val="clear" w:color="auto" w:fill="auto"/>
          </w:tcPr>
          <w:p w14:paraId="67CEAE74" w14:textId="77777777" w:rsidR="00027191" w:rsidRDefault="00FA6D3D">
            <w:pPr>
              <w:jc w:val="center"/>
            </w:pPr>
            <w:r>
              <w:rPr>
                <w:rFonts w:cs="Calibri"/>
                <w:color w:val="FF0000"/>
                <w:szCs w:val="20"/>
              </w:rPr>
              <w:t>(doplní dodavatel)</w:t>
            </w:r>
          </w:p>
        </w:tc>
        <w:tc>
          <w:tcPr>
            <w:tcW w:w="3821" w:type="dxa"/>
            <w:shd w:val="clear" w:color="auto" w:fill="auto"/>
          </w:tcPr>
          <w:p w14:paraId="7F07992A" w14:textId="77777777" w:rsidR="00027191" w:rsidRDefault="00FA6D3D">
            <w:pPr>
              <w:jc w:val="center"/>
            </w:pPr>
            <w:r>
              <w:rPr>
                <w:rFonts w:cs="Calibri"/>
                <w:color w:val="FF0000"/>
                <w:szCs w:val="20"/>
              </w:rPr>
              <w:t>(doplní dodavatel)</w:t>
            </w:r>
          </w:p>
        </w:tc>
      </w:tr>
      <w:tr w:rsidR="00027191" w14:paraId="0EC5CEA6" w14:textId="77777777">
        <w:tc>
          <w:tcPr>
            <w:tcW w:w="4536" w:type="dxa"/>
            <w:shd w:val="clear" w:color="auto" w:fill="auto"/>
          </w:tcPr>
          <w:p w14:paraId="4CF2AED7" w14:textId="77777777" w:rsidR="00027191" w:rsidRDefault="00FA6D3D">
            <w:proofErr w:type="spellStart"/>
            <w:r>
              <w:rPr>
                <w:szCs w:val="20"/>
              </w:rPr>
              <w:t>Flow</w:t>
            </w:r>
            <w:proofErr w:type="spellEnd"/>
            <w:r>
              <w:rPr>
                <w:szCs w:val="20"/>
              </w:rPr>
              <w:t xml:space="preserve"> </w:t>
            </w:r>
            <w:proofErr w:type="spellStart"/>
            <w:r>
              <w:rPr>
                <w:szCs w:val="20"/>
              </w:rPr>
              <w:t>trigger</w:t>
            </w:r>
            <w:proofErr w:type="spellEnd"/>
          </w:p>
        </w:tc>
        <w:tc>
          <w:tcPr>
            <w:tcW w:w="1276" w:type="dxa"/>
            <w:shd w:val="clear" w:color="auto" w:fill="auto"/>
          </w:tcPr>
          <w:p w14:paraId="152A476C" w14:textId="77777777" w:rsidR="00027191" w:rsidRDefault="00FA6D3D">
            <w:pPr>
              <w:jc w:val="center"/>
            </w:pPr>
            <w:r>
              <w:rPr>
                <w:rFonts w:cs="Calibri"/>
                <w:color w:val="FF0000"/>
                <w:szCs w:val="20"/>
              </w:rPr>
              <w:t>(doplní dodavatel)</w:t>
            </w:r>
          </w:p>
        </w:tc>
        <w:tc>
          <w:tcPr>
            <w:tcW w:w="3821" w:type="dxa"/>
            <w:shd w:val="clear" w:color="auto" w:fill="auto"/>
          </w:tcPr>
          <w:p w14:paraId="1202C17F" w14:textId="77777777" w:rsidR="00027191" w:rsidRDefault="00FA6D3D">
            <w:pPr>
              <w:jc w:val="center"/>
            </w:pPr>
            <w:r>
              <w:rPr>
                <w:rFonts w:cs="Calibri"/>
                <w:color w:val="FF0000"/>
                <w:szCs w:val="20"/>
              </w:rPr>
              <w:t>(doplní dodavatel)</w:t>
            </w:r>
          </w:p>
        </w:tc>
      </w:tr>
      <w:tr w:rsidR="00027191" w14:paraId="502E07CC" w14:textId="77777777">
        <w:tc>
          <w:tcPr>
            <w:tcW w:w="4536" w:type="dxa"/>
            <w:shd w:val="clear" w:color="auto" w:fill="auto"/>
          </w:tcPr>
          <w:p w14:paraId="559581E8" w14:textId="77777777" w:rsidR="00027191" w:rsidRDefault="00FA6D3D">
            <w:pPr>
              <w:rPr>
                <w:rFonts w:ascii="CIDFont+F2" w:hAnsi="CIDFont+F2"/>
                <w:szCs w:val="20"/>
              </w:rPr>
            </w:pPr>
            <w:r>
              <w:rPr>
                <w:szCs w:val="20"/>
              </w:rPr>
              <w:t xml:space="preserve">Nastavení náběhu tlaku a ukončení inspiračního cyklu podle průtoku, expirační </w:t>
            </w:r>
            <w:proofErr w:type="spellStart"/>
            <w:r>
              <w:rPr>
                <w:szCs w:val="20"/>
              </w:rPr>
              <w:t>trigger</w:t>
            </w:r>
            <w:proofErr w:type="spellEnd"/>
            <w:r>
              <w:rPr>
                <w:szCs w:val="20"/>
              </w:rPr>
              <w:t xml:space="preserve"> alespoň 5-60%</w:t>
            </w:r>
          </w:p>
          <w:p w14:paraId="63A585AF" w14:textId="77777777" w:rsidR="00027191" w:rsidRDefault="00027191">
            <w:pPr>
              <w:rPr>
                <w:rFonts w:cs="Tahoma"/>
                <w:szCs w:val="20"/>
              </w:rPr>
            </w:pPr>
          </w:p>
        </w:tc>
        <w:tc>
          <w:tcPr>
            <w:tcW w:w="1276" w:type="dxa"/>
            <w:shd w:val="clear" w:color="auto" w:fill="auto"/>
          </w:tcPr>
          <w:p w14:paraId="600673B2" w14:textId="77777777" w:rsidR="00027191" w:rsidRDefault="00FA6D3D">
            <w:pPr>
              <w:jc w:val="center"/>
            </w:pPr>
            <w:r>
              <w:rPr>
                <w:rFonts w:cs="Calibri"/>
                <w:color w:val="FF0000"/>
                <w:szCs w:val="20"/>
              </w:rPr>
              <w:t>(doplní dodavatel)</w:t>
            </w:r>
          </w:p>
        </w:tc>
        <w:tc>
          <w:tcPr>
            <w:tcW w:w="3821" w:type="dxa"/>
            <w:shd w:val="clear" w:color="auto" w:fill="auto"/>
          </w:tcPr>
          <w:p w14:paraId="72916DCB" w14:textId="77777777" w:rsidR="00027191" w:rsidRDefault="00FA6D3D">
            <w:pPr>
              <w:jc w:val="center"/>
            </w:pPr>
            <w:r>
              <w:rPr>
                <w:rFonts w:cs="Calibri"/>
                <w:color w:val="FF0000"/>
                <w:szCs w:val="20"/>
              </w:rPr>
              <w:t>(doplní dodavatel)</w:t>
            </w:r>
          </w:p>
        </w:tc>
      </w:tr>
      <w:tr w:rsidR="00027191" w14:paraId="3991C3C9" w14:textId="77777777">
        <w:tc>
          <w:tcPr>
            <w:tcW w:w="4536" w:type="dxa"/>
            <w:shd w:val="clear" w:color="auto" w:fill="auto"/>
          </w:tcPr>
          <w:p w14:paraId="10EDEB1D" w14:textId="77777777" w:rsidR="00027191" w:rsidRDefault="00FA6D3D">
            <w:pPr>
              <w:rPr>
                <w:rFonts w:ascii="CIDFont+F2" w:hAnsi="CIDFont+F2"/>
                <w:szCs w:val="20"/>
              </w:rPr>
            </w:pPr>
            <w:r>
              <w:rPr>
                <w:szCs w:val="20"/>
              </w:rPr>
              <w:t xml:space="preserve">Bazální průtok alespoň </w:t>
            </w:r>
            <w:proofErr w:type="gramStart"/>
            <w:r>
              <w:rPr>
                <w:szCs w:val="20"/>
              </w:rPr>
              <w:t>4l</w:t>
            </w:r>
            <w:proofErr w:type="gramEnd"/>
            <w:r>
              <w:rPr>
                <w:szCs w:val="20"/>
              </w:rPr>
              <w:t>/min</w:t>
            </w:r>
          </w:p>
          <w:p w14:paraId="12616E63" w14:textId="77777777" w:rsidR="00027191" w:rsidRDefault="00027191">
            <w:pPr>
              <w:rPr>
                <w:rFonts w:cs="Tahoma"/>
                <w:szCs w:val="20"/>
              </w:rPr>
            </w:pPr>
          </w:p>
        </w:tc>
        <w:tc>
          <w:tcPr>
            <w:tcW w:w="1276" w:type="dxa"/>
            <w:shd w:val="clear" w:color="auto" w:fill="auto"/>
          </w:tcPr>
          <w:p w14:paraId="3ED47DF1" w14:textId="77777777" w:rsidR="00027191" w:rsidRDefault="00FA6D3D">
            <w:pPr>
              <w:jc w:val="center"/>
            </w:pPr>
            <w:r>
              <w:rPr>
                <w:rFonts w:cs="Calibri"/>
                <w:color w:val="FF0000"/>
                <w:szCs w:val="20"/>
              </w:rPr>
              <w:t>(doplní dodavatel)</w:t>
            </w:r>
          </w:p>
        </w:tc>
        <w:tc>
          <w:tcPr>
            <w:tcW w:w="3821" w:type="dxa"/>
            <w:shd w:val="clear" w:color="auto" w:fill="auto"/>
          </w:tcPr>
          <w:p w14:paraId="78F0664E" w14:textId="77777777" w:rsidR="00027191" w:rsidRDefault="00FA6D3D">
            <w:pPr>
              <w:jc w:val="center"/>
            </w:pPr>
            <w:r>
              <w:rPr>
                <w:rFonts w:cs="Calibri"/>
                <w:color w:val="FF0000"/>
                <w:szCs w:val="20"/>
              </w:rPr>
              <w:t>(doplní dodavatel)</w:t>
            </w:r>
          </w:p>
        </w:tc>
      </w:tr>
      <w:tr w:rsidR="00027191" w14:paraId="0F99D596" w14:textId="77777777">
        <w:tc>
          <w:tcPr>
            <w:tcW w:w="4536" w:type="dxa"/>
            <w:shd w:val="clear" w:color="auto" w:fill="auto"/>
          </w:tcPr>
          <w:p w14:paraId="2810BCD4" w14:textId="77777777" w:rsidR="00027191" w:rsidRDefault="00FA6D3D">
            <w:r>
              <w:rPr>
                <w:szCs w:val="20"/>
              </w:rPr>
              <w:t>Automatická kompenzace odporu endotracheální rourky</w:t>
            </w:r>
          </w:p>
          <w:p w14:paraId="2528DD72" w14:textId="77777777" w:rsidR="00027191" w:rsidRDefault="00027191">
            <w:pPr>
              <w:rPr>
                <w:rFonts w:cs="Tahoma"/>
                <w:szCs w:val="20"/>
              </w:rPr>
            </w:pPr>
          </w:p>
        </w:tc>
        <w:tc>
          <w:tcPr>
            <w:tcW w:w="1276" w:type="dxa"/>
            <w:shd w:val="clear" w:color="auto" w:fill="auto"/>
          </w:tcPr>
          <w:p w14:paraId="2BC41C62" w14:textId="77777777" w:rsidR="00027191" w:rsidRDefault="00FA6D3D">
            <w:pPr>
              <w:jc w:val="center"/>
            </w:pPr>
            <w:r>
              <w:rPr>
                <w:rFonts w:cs="Calibri"/>
                <w:color w:val="FF0000"/>
                <w:szCs w:val="20"/>
              </w:rPr>
              <w:t>(doplní dodavatel)</w:t>
            </w:r>
          </w:p>
        </w:tc>
        <w:tc>
          <w:tcPr>
            <w:tcW w:w="3821" w:type="dxa"/>
            <w:shd w:val="clear" w:color="auto" w:fill="auto"/>
          </w:tcPr>
          <w:p w14:paraId="1D819766" w14:textId="77777777" w:rsidR="00027191" w:rsidRDefault="00FA6D3D">
            <w:pPr>
              <w:jc w:val="center"/>
            </w:pPr>
            <w:r>
              <w:rPr>
                <w:rFonts w:cs="Calibri"/>
                <w:color w:val="FF0000"/>
                <w:szCs w:val="20"/>
              </w:rPr>
              <w:t>(doplní dodavatel)</w:t>
            </w:r>
          </w:p>
        </w:tc>
      </w:tr>
      <w:tr w:rsidR="00027191" w14:paraId="0B4F1D4A" w14:textId="77777777">
        <w:tc>
          <w:tcPr>
            <w:tcW w:w="4536" w:type="dxa"/>
            <w:shd w:val="clear" w:color="auto" w:fill="auto"/>
          </w:tcPr>
          <w:p w14:paraId="1BA39171" w14:textId="77777777" w:rsidR="00027191" w:rsidRDefault="00FA6D3D">
            <w:pPr>
              <w:rPr>
                <w:rFonts w:ascii="Tahoma" w:hAnsi="Tahoma" w:cs="Tahoma"/>
                <w:szCs w:val="20"/>
              </w:rPr>
            </w:pPr>
            <w:r>
              <w:rPr>
                <w:szCs w:val="20"/>
              </w:rPr>
              <w:t>Minimální velikost hlavní dotykové ovládací obrazovky 15“</w:t>
            </w:r>
          </w:p>
        </w:tc>
        <w:tc>
          <w:tcPr>
            <w:tcW w:w="1276" w:type="dxa"/>
            <w:shd w:val="clear" w:color="auto" w:fill="auto"/>
          </w:tcPr>
          <w:p w14:paraId="6D0F6D7F" w14:textId="77777777" w:rsidR="00027191" w:rsidRDefault="00FA6D3D">
            <w:pPr>
              <w:jc w:val="center"/>
            </w:pPr>
            <w:r>
              <w:rPr>
                <w:rFonts w:cs="Calibri"/>
                <w:color w:val="FF0000"/>
                <w:szCs w:val="20"/>
              </w:rPr>
              <w:t>(doplní dodavatel)</w:t>
            </w:r>
          </w:p>
        </w:tc>
        <w:tc>
          <w:tcPr>
            <w:tcW w:w="3821" w:type="dxa"/>
            <w:shd w:val="clear" w:color="auto" w:fill="auto"/>
          </w:tcPr>
          <w:p w14:paraId="03E88BFD" w14:textId="77777777" w:rsidR="00027191" w:rsidRDefault="00FA6D3D">
            <w:pPr>
              <w:jc w:val="center"/>
            </w:pPr>
            <w:r>
              <w:rPr>
                <w:rFonts w:cs="Calibri"/>
                <w:color w:val="FF0000"/>
                <w:szCs w:val="20"/>
              </w:rPr>
              <w:t>(doplní dodavatel)</w:t>
            </w:r>
          </w:p>
        </w:tc>
      </w:tr>
      <w:tr w:rsidR="00027191" w14:paraId="05C348D3" w14:textId="77777777">
        <w:tc>
          <w:tcPr>
            <w:tcW w:w="4536" w:type="dxa"/>
            <w:shd w:val="clear" w:color="auto" w:fill="auto"/>
          </w:tcPr>
          <w:p w14:paraId="75235215" w14:textId="77777777" w:rsidR="00027191" w:rsidRDefault="00FA6D3D">
            <w:pPr>
              <w:rPr>
                <w:rFonts w:ascii="Tahoma" w:hAnsi="Tahoma" w:cs="Tahoma"/>
                <w:szCs w:val="20"/>
              </w:rPr>
            </w:pPr>
            <w:r>
              <w:rPr>
                <w:szCs w:val="20"/>
              </w:rPr>
              <w:t xml:space="preserve">Monitorování tlaku a průtoku pacienta (obou veličin) a monitorace </w:t>
            </w:r>
            <w:proofErr w:type="spellStart"/>
            <w:r>
              <w:rPr>
                <w:szCs w:val="20"/>
              </w:rPr>
              <w:t>triggerů</w:t>
            </w:r>
            <w:proofErr w:type="spellEnd"/>
          </w:p>
        </w:tc>
        <w:tc>
          <w:tcPr>
            <w:tcW w:w="1276" w:type="dxa"/>
            <w:shd w:val="clear" w:color="auto" w:fill="auto"/>
          </w:tcPr>
          <w:p w14:paraId="6710E44A" w14:textId="77777777" w:rsidR="00027191" w:rsidRDefault="00FA6D3D">
            <w:pPr>
              <w:jc w:val="center"/>
            </w:pPr>
            <w:r>
              <w:rPr>
                <w:rFonts w:cs="Calibri"/>
                <w:color w:val="FF0000"/>
                <w:szCs w:val="20"/>
              </w:rPr>
              <w:t>(doplní dodavatel)</w:t>
            </w:r>
          </w:p>
        </w:tc>
        <w:tc>
          <w:tcPr>
            <w:tcW w:w="3821" w:type="dxa"/>
            <w:shd w:val="clear" w:color="auto" w:fill="auto"/>
          </w:tcPr>
          <w:p w14:paraId="0E12E40C" w14:textId="77777777" w:rsidR="00027191" w:rsidRDefault="00FA6D3D">
            <w:pPr>
              <w:jc w:val="center"/>
            </w:pPr>
            <w:r>
              <w:rPr>
                <w:rFonts w:cs="Calibri"/>
                <w:color w:val="FF0000"/>
                <w:szCs w:val="20"/>
              </w:rPr>
              <w:t>(doplní dodavatel)</w:t>
            </w:r>
          </w:p>
        </w:tc>
      </w:tr>
      <w:tr w:rsidR="00027191" w14:paraId="63802EBE" w14:textId="77777777">
        <w:tc>
          <w:tcPr>
            <w:tcW w:w="4536" w:type="dxa"/>
            <w:shd w:val="clear" w:color="auto" w:fill="auto"/>
          </w:tcPr>
          <w:p w14:paraId="2FCD7D6D" w14:textId="77777777" w:rsidR="00027191" w:rsidRDefault="00FA6D3D">
            <w:pPr>
              <w:rPr>
                <w:rFonts w:ascii="CIDFont+F2" w:hAnsi="CIDFont+F2"/>
                <w:szCs w:val="20"/>
              </w:rPr>
            </w:pPr>
            <w:r>
              <w:rPr>
                <w:szCs w:val="20"/>
              </w:rPr>
              <w:t>Sledování objemu, průtoku, tlaku v dýchacích cestách, 3 křivky současně, kde popíše varianty zobrazení a počet současně zobrazených křivek a počet sledovaných a současně zobrazených parametrů.</w:t>
            </w:r>
          </w:p>
          <w:p w14:paraId="79518FF7" w14:textId="77777777" w:rsidR="00027191" w:rsidRDefault="00027191">
            <w:pPr>
              <w:rPr>
                <w:rFonts w:cs="Tahoma"/>
                <w:szCs w:val="20"/>
              </w:rPr>
            </w:pPr>
          </w:p>
        </w:tc>
        <w:tc>
          <w:tcPr>
            <w:tcW w:w="1276" w:type="dxa"/>
            <w:shd w:val="clear" w:color="auto" w:fill="auto"/>
          </w:tcPr>
          <w:p w14:paraId="490D00F9" w14:textId="77777777" w:rsidR="00027191" w:rsidRDefault="00FA6D3D">
            <w:pPr>
              <w:jc w:val="center"/>
            </w:pPr>
            <w:r>
              <w:rPr>
                <w:rFonts w:cs="Calibri"/>
                <w:color w:val="FF0000"/>
                <w:szCs w:val="20"/>
              </w:rPr>
              <w:t>(doplní dodavatel)</w:t>
            </w:r>
          </w:p>
        </w:tc>
        <w:tc>
          <w:tcPr>
            <w:tcW w:w="3821" w:type="dxa"/>
            <w:shd w:val="clear" w:color="auto" w:fill="auto"/>
          </w:tcPr>
          <w:p w14:paraId="12EB2F3F" w14:textId="77777777" w:rsidR="00027191" w:rsidRDefault="00FA6D3D">
            <w:pPr>
              <w:jc w:val="center"/>
            </w:pPr>
            <w:r>
              <w:rPr>
                <w:rFonts w:cs="Calibri"/>
                <w:color w:val="FF0000"/>
                <w:szCs w:val="20"/>
              </w:rPr>
              <w:t>(doplní dodavatel)</w:t>
            </w:r>
          </w:p>
        </w:tc>
      </w:tr>
      <w:tr w:rsidR="00027191" w14:paraId="4A272D30" w14:textId="77777777">
        <w:tc>
          <w:tcPr>
            <w:tcW w:w="4536" w:type="dxa"/>
            <w:shd w:val="clear" w:color="auto" w:fill="auto"/>
          </w:tcPr>
          <w:p w14:paraId="478E2B54" w14:textId="77777777" w:rsidR="00027191" w:rsidRDefault="00FA6D3D">
            <w:pPr>
              <w:rPr>
                <w:rFonts w:ascii="CIDFont+F2" w:hAnsi="CIDFont+F2"/>
                <w:szCs w:val="20"/>
              </w:rPr>
            </w:pPr>
            <w:r>
              <w:rPr>
                <w:szCs w:val="20"/>
              </w:rPr>
              <w:t xml:space="preserve">Umožnuje nastavovat a sledovat jednotlivý a minutový objem, únik při NIV, Tlak: PEEP, CPAP, </w:t>
            </w:r>
            <w:proofErr w:type="spellStart"/>
            <w:r>
              <w:rPr>
                <w:szCs w:val="20"/>
              </w:rPr>
              <w:t>peak</w:t>
            </w:r>
            <w:proofErr w:type="spellEnd"/>
            <w:r>
              <w:rPr>
                <w:szCs w:val="20"/>
              </w:rPr>
              <w:t xml:space="preserve">, </w:t>
            </w:r>
            <w:proofErr w:type="spellStart"/>
            <w:r>
              <w:rPr>
                <w:szCs w:val="20"/>
              </w:rPr>
              <w:t>mean</w:t>
            </w:r>
            <w:proofErr w:type="spellEnd"/>
            <w:r>
              <w:rPr>
                <w:szCs w:val="20"/>
              </w:rPr>
              <w:t>, Dechová frekvence, Průtoku, Grafické zobrazení tlakové, objemové a průtokové křivky, smyčky, trendu</w:t>
            </w:r>
          </w:p>
        </w:tc>
        <w:tc>
          <w:tcPr>
            <w:tcW w:w="1276" w:type="dxa"/>
            <w:shd w:val="clear" w:color="auto" w:fill="auto"/>
          </w:tcPr>
          <w:p w14:paraId="34211C78" w14:textId="77777777" w:rsidR="00027191" w:rsidRDefault="00FA6D3D">
            <w:pPr>
              <w:jc w:val="center"/>
            </w:pPr>
            <w:r>
              <w:rPr>
                <w:rFonts w:cs="Calibri"/>
                <w:color w:val="FF0000"/>
                <w:szCs w:val="20"/>
              </w:rPr>
              <w:t>(doplní dodavatel)</w:t>
            </w:r>
          </w:p>
        </w:tc>
        <w:tc>
          <w:tcPr>
            <w:tcW w:w="3821" w:type="dxa"/>
            <w:shd w:val="clear" w:color="auto" w:fill="auto"/>
          </w:tcPr>
          <w:p w14:paraId="754DF118" w14:textId="77777777" w:rsidR="00027191" w:rsidRDefault="00FA6D3D">
            <w:pPr>
              <w:jc w:val="center"/>
            </w:pPr>
            <w:r>
              <w:rPr>
                <w:rFonts w:cs="Calibri"/>
                <w:color w:val="FF0000"/>
                <w:szCs w:val="20"/>
              </w:rPr>
              <w:t>(doplní dodavatel)</w:t>
            </w:r>
          </w:p>
        </w:tc>
      </w:tr>
      <w:tr w:rsidR="00027191" w14:paraId="40FDD32A" w14:textId="77777777">
        <w:tc>
          <w:tcPr>
            <w:tcW w:w="4536" w:type="dxa"/>
            <w:shd w:val="clear" w:color="auto" w:fill="auto"/>
          </w:tcPr>
          <w:p w14:paraId="5BFD73DC" w14:textId="77777777" w:rsidR="00027191" w:rsidRDefault="00FA6D3D">
            <w:pPr>
              <w:rPr>
                <w:rFonts w:ascii="CIDFont+F2" w:hAnsi="CIDFont+F2"/>
                <w:szCs w:val="20"/>
              </w:rPr>
            </w:pPr>
            <w:r>
              <w:rPr>
                <w:szCs w:val="20"/>
              </w:rPr>
              <w:t xml:space="preserve">Akustické a optické alarmy chybových </w:t>
            </w:r>
            <w:proofErr w:type="gramStart"/>
            <w:r>
              <w:rPr>
                <w:szCs w:val="20"/>
              </w:rPr>
              <w:t>stavů - alespoň</w:t>
            </w:r>
            <w:proofErr w:type="gramEnd"/>
            <w:r>
              <w:rPr>
                <w:szCs w:val="20"/>
              </w:rPr>
              <w:t xml:space="preserve"> alarm nízkého a vysokého minutového objemu, nízkého a vysokého dechového objemu, vysoké frekvence, nízkého a vysokého inspiračního tlaku, </w:t>
            </w:r>
            <w:proofErr w:type="spellStart"/>
            <w:r>
              <w:rPr>
                <w:szCs w:val="20"/>
              </w:rPr>
              <w:t>apnea</w:t>
            </w:r>
            <w:proofErr w:type="spellEnd"/>
            <w:r>
              <w:rPr>
                <w:szCs w:val="20"/>
              </w:rPr>
              <w:t xml:space="preserve"> interval alespoň 15-60s, koncentrace O2</w:t>
            </w:r>
          </w:p>
        </w:tc>
        <w:tc>
          <w:tcPr>
            <w:tcW w:w="1276" w:type="dxa"/>
            <w:shd w:val="clear" w:color="auto" w:fill="auto"/>
          </w:tcPr>
          <w:p w14:paraId="2552AE91"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6FFFBCE0"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16E7D03D" w14:textId="77777777">
        <w:tc>
          <w:tcPr>
            <w:tcW w:w="4536" w:type="dxa"/>
            <w:shd w:val="clear" w:color="auto" w:fill="auto"/>
          </w:tcPr>
          <w:p w14:paraId="649ABA69" w14:textId="77777777" w:rsidR="00027191" w:rsidRDefault="00FA6D3D">
            <w:pPr>
              <w:rPr>
                <w:rFonts w:ascii="CIDFont+F2" w:hAnsi="CIDFont+F2"/>
                <w:szCs w:val="20"/>
              </w:rPr>
            </w:pPr>
            <w:r>
              <w:rPr>
                <w:szCs w:val="20"/>
              </w:rPr>
              <w:t>Připojení na rozvod medicinálních plynů</w:t>
            </w:r>
          </w:p>
        </w:tc>
        <w:tc>
          <w:tcPr>
            <w:tcW w:w="1276" w:type="dxa"/>
            <w:shd w:val="clear" w:color="auto" w:fill="auto"/>
          </w:tcPr>
          <w:p w14:paraId="1EEE4B47"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36CAA34F"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3AAB389B" w14:textId="77777777">
        <w:tc>
          <w:tcPr>
            <w:tcW w:w="4536" w:type="dxa"/>
            <w:shd w:val="clear" w:color="auto" w:fill="auto"/>
          </w:tcPr>
          <w:p w14:paraId="562C7306" w14:textId="77777777" w:rsidR="00027191" w:rsidRDefault="00FA6D3D">
            <w:r>
              <w:rPr>
                <w:szCs w:val="20"/>
              </w:rPr>
              <w:t xml:space="preserve">Rezervní zdroj napětí – bateriový provoz minimálně na 30 min, napájení </w:t>
            </w:r>
            <w:proofErr w:type="gramStart"/>
            <w:r>
              <w:rPr>
                <w:szCs w:val="20"/>
              </w:rPr>
              <w:t>230V</w:t>
            </w:r>
            <w:proofErr w:type="gramEnd"/>
            <w:r>
              <w:rPr>
                <w:szCs w:val="20"/>
              </w:rPr>
              <w:t>/50Hz</w:t>
            </w:r>
          </w:p>
        </w:tc>
        <w:tc>
          <w:tcPr>
            <w:tcW w:w="1276" w:type="dxa"/>
            <w:shd w:val="clear" w:color="auto" w:fill="auto"/>
          </w:tcPr>
          <w:p w14:paraId="0245963C"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42A1223C"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11E2D557" w14:textId="77777777">
        <w:tc>
          <w:tcPr>
            <w:tcW w:w="4536" w:type="dxa"/>
            <w:shd w:val="clear" w:color="auto" w:fill="auto"/>
          </w:tcPr>
          <w:p w14:paraId="55A776DD" w14:textId="77777777" w:rsidR="00027191" w:rsidRDefault="00FA6D3D">
            <w:pPr>
              <w:tabs>
                <w:tab w:val="left" w:pos="2925"/>
              </w:tabs>
              <w:rPr>
                <w:rFonts w:ascii="CIDFont+F2" w:hAnsi="CIDFont+F2"/>
                <w:szCs w:val="20"/>
              </w:rPr>
            </w:pPr>
            <w:r>
              <w:rPr>
                <w:szCs w:val="20"/>
              </w:rPr>
              <w:t>Vozík pro přístroj</w:t>
            </w:r>
          </w:p>
        </w:tc>
        <w:tc>
          <w:tcPr>
            <w:tcW w:w="1276" w:type="dxa"/>
            <w:shd w:val="clear" w:color="auto" w:fill="auto"/>
          </w:tcPr>
          <w:p w14:paraId="1487CCFC"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38CFAB13"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21CD5E87" w14:textId="77777777">
        <w:tc>
          <w:tcPr>
            <w:tcW w:w="4536" w:type="dxa"/>
            <w:shd w:val="clear" w:color="auto" w:fill="auto"/>
          </w:tcPr>
          <w:p w14:paraId="461F317D" w14:textId="77777777" w:rsidR="00027191" w:rsidRDefault="00FA6D3D">
            <w:pPr>
              <w:rPr>
                <w:rFonts w:ascii="CIDFont+F2" w:hAnsi="CIDFont+F2"/>
                <w:szCs w:val="20"/>
              </w:rPr>
            </w:pPr>
            <w:r>
              <w:rPr>
                <w:szCs w:val="20"/>
              </w:rPr>
              <w:t>Vestavěná s inspiriem synchronizovaná proudová nebulizace medikamentů</w:t>
            </w:r>
          </w:p>
        </w:tc>
        <w:tc>
          <w:tcPr>
            <w:tcW w:w="1276" w:type="dxa"/>
            <w:shd w:val="clear" w:color="auto" w:fill="auto"/>
          </w:tcPr>
          <w:p w14:paraId="35BA5BCE"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4960CE0B"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0D221337" w14:textId="77777777">
        <w:tc>
          <w:tcPr>
            <w:tcW w:w="4536" w:type="dxa"/>
            <w:shd w:val="clear" w:color="auto" w:fill="auto"/>
          </w:tcPr>
          <w:p w14:paraId="5EB03569" w14:textId="77777777" w:rsidR="00027191" w:rsidRDefault="00FA6D3D">
            <w:pPr>
              <w:rPr>
                <w:rFonts w:ascii="CIDFont+F2" w:hAnsi="CIDFont+F2"/>
                <w:szCs w:val="20"/>
              </w:rPr>
            </w:pPr>
            <w:proofErr w:type="spellStart"/>
            <w:r>
              <w:rPr>
                <w:szCs w:val="20"/>
              </w:rPr>
              <w:t>Standby</w:t>
            </w:r>
            <w:proofErr w:type="spellEnd"/>
            <w:r>
              <w:rPr>
                <w:szCs w:val="20"/>
              </w:rPr>
              <w:t xml:space="preserve"> funkce SW, kde ovládání a alarmy budou v českém jazyce</w:t>
            </w:r>
          </w:p>
        </w:tc>
        <w:tc>
          <w:tcPr>
            <w:tcW w:w="1276" w:type="dxa"/>
            <w:shd w:val="clear" w:color="auto" w:fill="auto"/>
          </w:tcPr>
          <w:p w14:paraId="28FDEB37" w14:textId="77777777" w:rsidR="00027191" w:rsidRDefault="00FA6D3D">
            <w:pPr>
              <w:jc w:val="center"/>
            </w:pPr>
            <w:r>
              <w:rPr>
                <w:rFonts w:cs="Calibri"/>
                <w:color w:val="FF0000"/>
                <w:szCs w:val="20"/>
              </w:rPr>
              <w:t>(doplní dodavatel)</w:t>
            </w:r>
          </w:p>
        </w:tc>
        <w:tc>
          <w:tcPr>
            <w:tcW w:w="3821" w:type="dxa"/>
            <w:shd w:val="clear" w:color="auto" w:fill="auto"/>
          </w:tcPr>
          <w:p w14:paraId="3035704D" w14:textId="77777777" w:rsidR="00027191" w:rsidRDefault="00FA6D3D">
            <w:pPr>
              <w:jc w:val="center"/>
            </w:pPr>
            <w:r>
              <w:rPr>
                <w:rFonts w:cs="Calibri"/>
                <w:color w:val="FF0000"/>
                <w:szCs w:val="20"/>
              </w:rPr>
              <w:t>(doplní dodavatel)</w:t>
            </w:r>
          </w:p>
        </w:tc>
      </w:tr>
      <w:tr w:rsidR="00027191" w14:paraId="1238B160" w14:textId="77777777">
        <w:tc>
          <w:tcPr>
            <w:tcW w:w="4536" w:type="dxa"/>
            <w:shd w:val="clear" w:color="auto" w:fill="auto"/>
          </w:tcPr>
          <w:p w14:paraId="6F47E544" w14:textId="77777777" w:rsidR="00027191" w:rsidRDefault="00FA6D3D">
            <w:pPr>
              <w:rPr>
                <w:rFonts w:ascii="CIDFont+F2" w:hAnsi="CIDFont+F2"/>
                <w:szCs w:val="20"/>
              </w:rPr>
            </w:pPr>
            <w:r>
              <w:rPr>
                <w:szCs w:val="20"/>
              </w:rPr>
              <w:t xml:space="preserve">Monitorace plicní mechaniky jako je poddajnost, rezistence, P01 – okluzní tlak, časová konstanta, automatické měření </w:t>
            </w:r>
            <w:proofErr w:type="spellStart"/>
            <w:r>
              <w:rPr>
                <w:szCs w:val="20"/>
              </w:rPr>
              <w:t>AutoPEEP</w:t>
            </w:r>
            <w:proofErr w:type="spellEnd"/>
            <w:r>
              <w:rPr>
                <w:szCs w:val="20"/>
              </w:rPr>
              <w:t>, manévr pro měření</w:t>
            </w:r>
          </w:p>
          <w:p w14:paraId="34335C10" w14:textId="77777777" w:rsidR="00027191" w:rsidRDefault="00FA6D3D">
            <w:pPr>
              <w:rPr>
                <w:rFonts w:ascii="CIDFont+F2" w:hAnsi="CIDFont+F2"/>
                <w:szCs w:val="20"/>
              </w:rPr>
            </w:pPr>
            <w:proofErr w:type="spellStart"/>
            <w:r>
              <w:rPr>
                <w:szCs w:val="20"/>
              </w:rPr>
              <w:t>inflekčních</w:t>
            </w:r>
            <w:proofErr w:type="spellEnd"/>
            <w:r>
              <w:rPr>
                <w:szCs w:val="20"/>
              </w:rPr>
              <w:t xml:space="preserve"> bodů minimálně s následujícími funkcemi</w:t>
            </w:r>
          </w:p>
          <w:p w14:paraId="315F9D1E" w14:textId="77777777" w:rsidR="00027191" w:rsidRDefault="00027191">
            <w:pPr>
              <w:rPr>
                <w:szCs w:val="20"/>
              </w:rPr>
            </w:pPr>
          </w:p>
          <w:p w14:paraId="3C1B506E" w14:textId="77777777" w:rsidR="00027191" w:rsidRDefault="00FA6D3D">
            <w:pPr>
              <w:pStyle w:val="Odstavecseseznamem"/>
              <w:numPr>
                <w:ilvl w:val="0"/>
                <w:numId w:val="1"/>
              </w:numPr>
              <w:rPr>
                <w:rFonts w:ascii="CIDFont+F2" w:hAnsi="CIDFont+F2"/>
                <w:szCs w:val="20"/>
              </w:rPr>
            </w:pPr>
            <w:r>
              <w:rPr>
                <w:szCs w:val="20"/>
              </w:rPr>
              <w:t xml:space="preserve">vykreslení statické P/V </w:t>
            </w:r>
            <w:proofErr w:type="spellStart"/>
            <w:r>
              <w:rPr>
                <w:szCs w:val="20"/>
              </w:rPr>
              <w:t>křívky</w:t>
            </w:r>
            <w:proofErr w:type="spellEnd"/>
            <w:r>
              <w:rPr>
                <w:szCs w:val="20"/>
              </w:rPr>
              <w:t xml:space="preserve"> inspirační i expirační se změřením statické </w:t>
            </w:r>
            <w:proofErr w:type="spellStart"/>
            <w:r>
              <w:rPr>
                <w:szCs w:val="20"/>
              </w:rPr>
              <w:t>compliance</w:t>
            </w:r>
            <w:proofErr w:type="spellEnd"/>
          </w:p>
          <w:p w14:paraId="7EE95F34" w14:textId="77777777" w:rsidR="00027191" w:rsidRDefault="00FA6D3D">
            <w:pPr>
              <w:pStyle w:val="Odstavecseseznamem"/>
              <w:numPr>
                <w:ilvl w:val="0"/>
                <w:numId w:val="1"/>
              </w:numPr>
            </w:pPr>
            <w:r>
              <w:rPr>
                <w:szCs w:val="20"/>
              </w:rPr>
              <w:t xml:space="preserve"> nastavení alespoň startovacího, maximálního tlaku</w:t>
            </w:r>
          </w:p>
          <w:p w14:paraId="59F64686" w14:textId="77777777" w:rsidR="00027191" w:rsidRDefault="00FA6D3D">
            <w:pPr>
              <w:pStyle w:val="Odstavecseseznamem"/>
              <w:numPr>
                <w:ilvl w:val="0"/>
                <w:numId w:val="1"/>
              </w:numPr>
              <w:rPr>
                <w:rFonts w:ascii="CIDFont+F2" w:hAnsi="CIDFont+F2"/>
                <w:szCs w:val="20"/>
              </w:rPr>
            </w:pPr>
            <w:r>
              <w:rPr>
                <w:szCs w:val="20"/>
              </w:rPr>
              <w:t>procentuální zastoupení spontánních dechů, RSB index</w:t>
            </w:r>
          </w:p>
        </w:tc>
        <w:tc>
          <w:tcPr>
            <w:tcW w:w="1276" w:type="dxa"/>
            <w:shd w:val="clear" w:color="auto" w:fill="auto"/>
          </w:tcPr>
          <w:p w14:paraId="57FC6D9A" w14:textId="77777777" w:rsidR="00027191" w:rsidRDefault="00FA6D3D">
            <w:pPr>
              <w:jc w:val="center"/>
            </w:pPr>
            <w:r>
              <w:rPr>
                <w:rFonts w:cs="Calibri"/>
                <w:color w:val="FF0000"/>
                <w:szCs w:val="20"/>
              </w:rPr>
              <w:t>(doplní dodavatel)</w:t>
            </w:r>
          </w:p>
        </w:tc>
        <w:tc>
          <w:tcPr>
            <w:tcW w:w="3821" w:type="dxa"/>
            <w:shd w:val="clear" w:color="auto" w:fill="auto"/>
          </w:tcPr>
          <w:p w14:paraId="0A058E81" w14:textId="77777777" w:rsidR="00027191" w:rsidRDefault="00FA6D3D">
            <w:pPr>
              <w:jc w:val="center"/>
            </w:pPr>
            <w:r>
              <w:rPr>
                <w:rFonts w:cs="Calibri"/>
                <w:color w:val="FF0000"/>
                <w:szCs w:val="20"/>
              </w:rPr>
              <w:t>(doplní dodavatel)</w:t>
            </w:r>
          </w:p>
        </w:tc>
      </w:tr>
      <w:tr w:rsidR="00027191" w14:paraId="7A384472" w14:textId="77777777">
        <w:tc>
          <w:tcPr>
            <w:tcW w:w="4536" w:type="dxa"/>
            <w:shd w:val="clear" w:color="auto" w:fill="auto"/>
          </w:tcPr>
          <w:p w14:paraId="23F9606E" w14:textId="77777777" w:rsidR="00027191" w:rsidRDefault="00FA6D3D">
            <w:pPr>
              <w:rPr>
                <w:rFonts w:ascii="CIDFont+F2" w:hAnsi="CIDFont+F2"/>
                <w:szCs w:val="20"/>
              </w:rPr>
            </w:pPr>
            <w:r>
              <w:rPr>
                <w:szCs w:val="20"/>
              </w:rPr>
              <w:lastRenderedPageBreak/>
              <w:t xml:space="preserve">Grafické zobrazení </w:t>
            </w:r>
            <w:proofErr w:type="spellStart"/>
            <w:r>
              <w:rPr>
                <w:szCs w:val="20"/>
              </w:rPr>
              <w:t>compliance</w:t>
            </w:r>
            <w:proofErr w:type="spellEnd"/>
            <w:r>
              <w:rPr>
                <w:szCs w:val="20"/>
              </w:rPr>
              <w:t xml:space="preserve"> a rezistence</w:t>
            </w:r>
          </w:p>
        </w:tc>
        <w:tc>
          <w:tcPr>
            <w:tcW w:w="1276" w:type="dxa"/>
            <w:shd w:val="clear" w:color="auto" w:fill="auto"/>
          </w:tcPr>
          <w:p w14:paraId="30F52A69" w14:textId="77777777" w:rsidR="00027191" w:rsidRDefault="00FA6D3D">
            <w:pPr>
              <w:jc w:val="center"/>
            </w:pPr>
            <w:r>
              <w:rPr>
                <w:rFonts w:cs="Calibri"/>
                <w:color w:val="FF0000"/>
                <w:szCs w:val="20"/>
              </w:rPr>
              <w:t>(doplní dodavatel)</w:t>
            </w:r>
          </w:p>
        </w:tc>
        <w:tc>
          <w:tcPr>
            <w:tcW w:w="3821" w:type="dxa"/>
            <w:shd w:val="clear" w:color="auto" w:fill="auto"/>
          </w:tcPr>
          <w:p w14:paraId="4868DECD" w14:textId="77777777" w:rsidR="00027191" w:rsidRDefault="00FA6D3D">
            <w:pPr>
              <w:jc w:val="center"/>
            </w:pPr>
            <w:r>
              <w:rPr>
                <w:rFonts w:cs="Calibri"/>
                <w:color w:val="FF0000"/>
                <w:szCs w:val="20"/>
              </w:rPr>
              <w:t>(doplní dodavatel)</w:t>
            </w:r>
          </w:p>
        </w:tc>
      </w:tr>
      <w:tr w:rsidR="00027191" w14:paraId="6AAAC1C9" w14:textId="77777777">
        <w:tc>
          <w:tcPr>
            <w:tcW w:w="4536" w:type="dxa"/>
            <w:shd w:val="clear" w:color="auto" w:fill="auto"/>
          </w:tcPr>
          <w:p w14:paraId="5BA6D1C8" w14:textId="77777777" w:rsidR="00027191" w:rsidRDefault="00FA6D3D">
            <w:pPr>
              <w:rPr>
                <w:rFonts w:ascii="CIDFont+F2" w:hAnsi="CIDFont+F2"/>
                <w:szCs w:val="20"/>
              </w:rPr>
            </w:pPr>
            <w:r>
              <w:rPr>
                <w:szCs w:val="20"/>
              </w:rPr>
              <w:t>Monitorace velikosti mrtvého prostoru</w:t>
            </w:r>
          </w:p>
        </w:tc>
        <w:tc>
          <w:tcPr>
            <w:tcW w:w="1276" w:type="dxa"/>
            <w:shd w:val="clear" w:color="auto" w:fill="auto"/>
          </w:tcPr>
          <w:p w14:paraId="29CAD5FA" w14:textId="77777777" w:rsidR="00027191" w:rsidRDefault="00FA6D3D">
            <w:pPr>
              <w:jc w:val="center"/>
            </w:pPr>
            <w:r>
              <w:rPr>
                <w:rFonts w:cs="Calibri"/>
                <w:color w:val="FF0000"/>
                <w:szCs w:val="20"/>
              </w:rPr>
              <w:t>(doplní dodavatel)</w:t>
            </w:r>
          </w:p>
        </w:tc>
        <w:tc>
          <w:tcPr>
            <w:tcW w:w="3821" w:type="dxa"/>
            <w:shd w:val="clear" w:color="auto" w:fill="auto"/>
          </w:tcPr>
          <w:p w14:paraId="657F9602" w14:textId="77777777" w:rsidR="00027191" w:rsidRDefault="00FA6D3D">
            <w:pPr>
              <w:jc w:val="center"/>
            </w:pPr>
            <w:r>
              <w:rPr>
                <w:rFonts w:cs="Calibri"/>
                <w:color w:val="FF0000"/>
                <w:szCs w:val="20"/>
              </w:rPr>
              <w:t>(doplní dodavatel)</w:t>
            </w:r>
          </w:p>
        </w:tc>
      </w:tr>
      <w:tr w:rsidR="00027191" w14:paraId="698319FC" w14:textId="77777777">
        <w:tc>
          <w:tcPr>
            <w:tcW w:w="4536" w:type="dxa"/>
            <w:shd w:val="clear" w:color="auto" w:fill="auto"/>
          </w:tcPr>
          <w:p w14:paraId="33D92DE9" w14:textId="77777777" w:rsidR="00027191" w:rsidRDefault="00FA6D3D">
            <w:pPr>
              <w:rPr>
                <w:rFonts w:ascii="CIDFont+F2" w:hAnsi="CIDFont+F2"/>
                <w:szCs w:val="20"/>
              </w:rPr>
            </w:pPr>
            <w:r>
              <w:rPr>
                <w:szCs w:val="20"/>
              </w:rPr>
              <w:t>Ovládání režimů, parametrů, alarmů otočným knoflíkem</w:t>
            </w:r>
          </w:p>
        </w:tc>
        <w:tc>
          <w:tcPr>
            <w:tcW w:w="1276" w:type="dxa"/>
            <w:shd w:val="clear" w:color="auto" w:fill="auto"/>
          </w:tcPr>
          <w:p w14:paraId="2DC32115" w14:textId="77777777" w:rsidR="00027191" w:rsidRDefault="00FA6D3D">
            <w:pPr>
              <w:jc w:val="center"/>
            </w:pPr>
            <w:r>
              <w:rPr>
                <w:rFonts w:cs="Calibri"/>
                <w:color w:val="FF0000"/>
                <w:szCs w:val="20"/>
              </w:rPr>
              <w:t>(doplní dodavatel)</w:t>
            </w:r>
          </w:p>
        </w:tc>
        <w:tc>
          <w:tcPr>
            <w:tcW w:w="3821" w:type="dxa"/>
            <w:shd w:val="clear" w:color="auto" w:fill="auto"/>
          </w:tcPr>
          <w:p w14:paraId="31D8E983" w14:textId="77777777" w:rsidR="00027191" w:rsidRDefault="00FA6D3D">
            <w:pPr>
              <w:jc w:val="center"/>
            </w:pPr>
            <w:r>
              <w:rPr>
                <w:rFonts w:cs="Calibri"/>
                <w:color w:val="FF0000"/>
                <w:szCs w:val="20"/>
              </w:rPr>
              <w:t>(doplní dodavatel)</w:t>
            </w:r>
          </w:p>
        </w:tc>
      </w:tr>
      <w:tr w:rsidR="00027191" w14:paraId="7DFB48E2" w14:textId="77777777">
        <w:tc>
          <w:tcPr>
            <w:tcW w:w="4536" w:type="dxa"/>
            <w:shd w:val="clear" w:color="auto" w:fill="auto"/>
          </w:tcPr>
          <w:p w14:paraId="6588B8C1" w14:textId="77777777" w:rsidR="00027191" w:rsidRDefault="00FA6D3D">
            <w:pPr>
              <w:rPr>
                <w:rFonts w:ascii="CIDFont+F2" w:hAnsi="CIDFont+F2"/>
                <w:szCs w:val="20"/>
              </w:rPr>
            </w:pPr>
            <w:r>
              <w:rPr>
                <w:szCs w:val="20"/>
              </w:rPr>
              <w:t xml:space="preserve">Alarmová hlášení senzorů (O2, </w:t>
            </w:r>
            <w:proofErr w:type="spellStart"/>
            <w:r>
              <w:rPr>
                <w:szCs w:val="20"/>
              </w:rPr>
              <w:t>flow</w:t>
            </w:r>
            <w:proofErr w:type="spellEnd"/>
            <w:r>
              <w:rPr>
                <w:szCs w:val="20"/>
              </w:rPr>
              <w:t>, CO2)</w:t>
            </w:r>
          </w:p>
          <w:p w14:paraId="4924A6A5" w14:textId="77777777" w:rsidR="00027191" w:rsidRDefault="00027191">
            <w:pPr>
              <w:rPr>
                <w:szCs w:val="20"/>
              </w:rPr>
            </w:pPr>
          </w:p>
        </w:tc>
        <w:tc>
          <w:tcPr>
            <w:tcW w:w="1276" w:type="dxa"/>
            <w:shd w:val="clear" w:color="auto" w:fill="auto"/>
          </w:tcPr>
          <w:p w14:paraId="1E19DC50" w14:textId="77777777" w:rsidR="00027191" w:rsidRDefault="00FA6D3D">
            <w:pPr>
              <w:jc w:val="center"/>
            </w:pPr>
            <w:r>
              <w:rPr>
                <w:rFonts w:cs="Calibri"/>
                <w:color w:val="FF0000"/>
                <w:szCs w:val="20"/>
              </w:rPr>
              <w:t>(doplní dodavatel)</w:t>
            </w:r>
          </w:p>
        </w:tc>
        <w:tc>
          <w:tcPr>
            <w:tcW w:w="3821" w:type="dxa"/>
            <w:shd w:val="clear" w:color="auto" w:fill="auto"/>
          </w:tcPr>
          <w:p w14:paraId="6125B0C4" w14:textId="77777777" w:rsidR="00027191" w:rsidRDefault="00FA6D3D">
            <w:pPr>
              <w:jc w:val="center"/>
            </w:pPr>
            <w:r>
              <w:rPr>
                <w:rFonts w:cs="Calibri"/>
                <w:color w:val="FF0000"/>
                <w:szCs w:val="20"/>
              </w:rPr>
              <w:t>(doplní dodavatel)</w:t>
            </w:r>
          </w:p>
        </w:tc>
      </w:tr>
      <w:tr w:rsidR="00027191" w14:paraId="56906BA1" w14:textId="77777777">
        <w:tc>
          <w:tcPr>
            <w:tcW w:w="4536" w:type="dxa"/>
            <w:shd w:val="clear" w:color="auto" w:fill="auto"/>
          </w:tcPr>
          <w:p w14:paraId="2C2805B5" w14:textId="77777777" w:rsidR="00027191" w:rsidRDefault="00FA6D3D">
            <w:pPr>
              <w:rPr>
                <w:rFonts w:ascii="CIDFont+F2" w:hAnsi="CIDFont+F2"/>
                <w:szCs w:val="20"/>
              </w:rPr>
            </w:pPr>
            <w:r>
              <w:rPr>
                <w:szCs w:val="20"/>
              </w:rPr>
              <w:t>Možnost ukládání dat na paměťová média.</w:t>
            </w:r>
          </w:p>
          <w:p w14:paraId="166FB11F" w14:textId="77777777" w:rsidR="00027191" w:rsidRDefault="00027191">
            <w:pPr>
              <w:rPr>
                <w:szCs w:val="20"/>
              </w:rPr>
            </w:pPr>
          </w:p>
        </w:tc>
        <w:tc>
          <w:tcPr>
            <w:tcW w:w="1276" w:type="dxa"/>
            <w:shd w:val="clear" w:color="auto" w:fill="auto"/>
          </w:tcPr>
          <w:p w14:paraId="55EAA6DC" w14:textId="77777777" w:rsidR="00027191" w:rsidRDefault="00FA6D3D">
            <w:pPr>
              <w:jc w:val="center"/>
            </w:pPr>
            <w:r>
              <w:rPr>
                <w:rFonts w:cs="Calibri"/>
                <w:color w:val="FF0000"/>
                <w:szCs w:val="20"/>
              </w:rPr>
              <w:t>(doplní dodavatel)</w:t>
            </w:r>
          </w:p>
        </w:tc>
        <w:tc>
          <w:tcPr>
            <w:tcW w:w="3821" w:type="dxa"/>
            <w:shd w:val="clear" w:color="auto" w:fill="auto"/>
          </w:tcPr>
          <w:p w14:paraId="26103365" w14:textId="77777777" w:rsidR="00027191" w:rsidRDefault="00FA6D3D">
            <w:pPr>
              <w:jc w:val="center"/>
            </w:pPr>
            <w:r>
              <w:rPr>
                <w:rFonts w:cs="Calibri"/>
                <w:color w:val="FF0000"/>
                <w:szCs w:val="20"/>
              </w:rPr>
              <w:t>(doplní dodavatel)</w:t>
            </w:r>
          </w:p>
        </w:tc>
      </w:tr>
      <w:tr w:rsidR="00027191" w14:paraId="23D4C9C3" w14:textId="77777777">
        <w:tc>
          <w:tcPr>
            <w:tcW w:w="4536" w:type="dxa"/>
            <w:shd w:val="clear" w:color="auto" w:fill="auto"/>
          </w:tcPr>
          <w:p w14:paraId="7D7DD354" w14:textId="77777777" w:rsidR="00027191" w:rsidRDefault="00FA6D3D">
            <w:pPr>
              <w:rPr>
                <w:rFonts w:ascii="CIDFont+F2" w:hAnsi="CIDFont+F2"/>
                <w:szCs w:val="20"/>
              </w:rPr>
            </w:pPr>
            <w:r>
              <w:rPr>
                <w:szCs w:val="20"/>
              </w:rPr>
              <w:t xml:space="preserve">Možnost umístění hlavního ovládacího panelu mimo ventilační jednotku např. na </w:t>
            </w:r>
            <w:proofErr w:type="spellStart"/>
            <w:r>
              <w:rPr>
                <w:szCs w:val="20"/>
              </w:rPr>
              <w:t>eurolištu</w:t>
            </w:r>
            <w:proofErr w:type="spellEnd"/>
            <w:r>
              <w:rPr>
                <w:szCs w:val="20"/>
              </w:rPr>
              <w:t>, uživatelsky – bez použití nástroje</w:t>
            </w:r>
          </w:p>
        </w:tc>
        <w:tc>
          <w:tcPr>
            <w:tcW w:w="1276" w:type="dxa"/>
            <w:shd w:val="clear" w:color="auto" w:fill="auto"/>
          </w:tcPr>
          <w:p w14:paraId="5F214788" w14:textId="77777777" w:rsidR="00027191" w:rsidRDefault="00FA6D3D">
            <w:pPr>
              <w:jc w:val="center"/>
            </w:pPr>
            <w:r>
              <w:rPr>
                <w:rFonts w:cs="Calibri"/>
                <w:color w:val="FF0000"/>
                <w:szCs w:val="20"/>
              </w:rPr>
              <w:t>(doplní dodavatel)</w:t>
            </w:r>
          </w:p>
        </w:tc>
        <w:tc>
          <w:tcPr>
            <w:tcW w:w="3821" w:type="dxa"/>
            <w:shd w:val="clear" w:color="auto" w:fill="auto"/>
          </w:tcPr>
          <w:p w14:paraId="1AC21CBA" w14:textId="77777777" w:rsidR="00027191" w:rsidRDefault="00FA6D3D">
            <w:pPr>
              <w:jc w:val="center"/>
            </w:pPr>
            <w:r>
              <w:rPr>
                <w:rFonts w:cs="Calibri"/>
                <w:color w:val="FF0000"/>
                <w:szCs w:val="20"/>
              </w:rPr>
              <w:t>(doplní dodavatel)</w:t>
            </w:r>
          </w:p>
        </w:tc>
      </w:tr>
      <w:tr w:rsidR="00027191" w14:paraId="353A6943" w14:textId="77777777">
        <w:tc>
          <w:tcPr>
            <w:tcW w:w="4536" w:type="dxa"/>
            <w:shd w:val="clear" w:color="auto" w:fill="auto"/>
          </w:tcPr>
          <w:p w14:paraId="354D0E8A" w14:textId="77777777" w:rsidR="00027191" w:rsidRDefault="00FA6D3D">
            <w:r>
              <w:rPr>
                <w:szCs w:val="20"/>
              </w:rPr>
              <w:t xml:space="preserve">Trendy min. 60 hodin, ventilační režim terapie vysokým průtokem dýchací směsi (např. </w:t>
            </w:r>
            <w:proofErr w:type="spellStart"/>
            <w:r>
              <w:rPr>
                <w:szCs w:val="20"/>
              </w:rPr>
              <w:t>Hi-Flow</w:t>
            </w:r>
            <w:proofErr w:type="spellEnd"/>
            <w:r>
              <w:rPr>
                <w:szCs w:val="20"/>
              </w:rPr>
              <w:t xml:space="preserve">, </w:t>
            </w:r>
            <w:proofErr w:type="spellStart"/>
            <w:r>
              <w:rPr>
                <w:szCs w:val="20"/>
              </w:rPr>
              <w:t>Opti-Flow</w:t>
            </w:r>
            <w:proofErr w:type="spellEnd"/>
            <w:r>
              <w:rPr>
                <w:szCs w:val="20"/>
              </w:rPr>
              <w:t>), bez použití externího zařízení kontroly tlaku v manžetě endotracheální ka</w:t>
            </w:r>
            <w:r>
              <w:rPr>
                <w:color w:val="000000"/>
                <w:szCs w:val="20"/>
              </w:rPr>
              <w:t>nyly, monitorování tlaku a průtoku na Y-spojce u dospělých a dětí nebo m</w:t>
            </w:r>
            <w:r>
              <w:rPr>
                <w:rFonts w:cs="Calibri"/>
                <w:color w:val="000000"/>
                <w:szCs w:val="20"/>
              </w:rPr>
              <w:t xml:space="preserve">onitorování tlaku a průtoku na straně přístroje </w:t>
            </w:r>
          </w:p>
        </w:tc>
        <w:tc>
          <w:tcPr>
            <w:tcW w:w="1276" w:type="dxa"/>
            <w:shd w:val="clear" w:color="auto" w:fill="auto"/>
          </w:tcPr>
          <w:p w14:paraId="68338FA9" w14:textId="77777777" w:rsidR="00027191" w:rsidRDefault="00FA6D3D">
            <w:pPr>
              <w:jc w:val="center"/>
            </w:pPr>
            <w:r>
              <w:rPr>
                <w:rFonts w:cs="Calibri"/>
                <w:color w:val="FF0000"/>
                <w:szCs w:val="20"/>
              </w:rPr>
              <w:t>(doplní dodavatel)</w:t>
            </w:r>
          </w:p>
        </w:tc>
        <w:tc>
          <w:tcPr>
            <w:tcW w:w="3821" w:type="dxa"/>
            <w:shd w:val="clear" w:color="auto" w:fill="auto"/>
          </w:tcPr>
          <w:p w14:paraId="1D1B23D5" w14:textId="77777777" w:rsidR="00027191" w:rsidRDefault="00FA6D3D">
            <w:pPr>
              <w:jc w:val="center"/>
            </w:pPr>
            <w:r>
              <w:rPr>
                <w:rFonts w:cs="Calibri"/>
                <w:color w:val="FF0000"/>
                <w:szCs w:val="20"/>
              </w:rPr>
              <w:t>(doplní dodavatel)</w:t>
            </w:r>
          </w:p>
        </w:tc>
      </w:tr>
      <w:tr w:rsidR="00027191" w14:paraId="30B9F585" w14:textId="77777777">
        <w:tc>
          <w:tcPr>
            <w:tcW w:w="4536" w:type="dxa"/>
            <w:tcBorders>
              <w:top w:val="nil"/>
            </w:tcBorders>
            <w:shd w:val="clear" w:color="auto" w:fill="auto"/>
          </w:tcPr>
          <w:p w14:paraId="1CE502BD" w14:textId="77777777" w:rsidR="00027191" w:rsidRDefault="00FA6D3D">
            <w:r>
              <w:t>Požadavek na aktivní zvlhčování a možnost HFNO</w:t>
            </w:r>
          </w:p>
          <w:p w14:paraId="18A6C682" w14:textId="77777777" w:rsidR="00027191" w:rsidRDefault="00027191">
            <w:pPr>
              <w:rPr>
                <w:color w:val="C9211E"/>
              </w:rPr>
            </w:pPr>
          </w:p>
        </w:tc>
        <w:tc>
          <w:tcPr>
            <w:tcW w:w="1276" w:type="dxa"/>
            <w:tcBorders>
              <w:top w:val="nil"/>
            </w:tcBorders>
            <w:shd w:val="clear" w:color="auto" w:fill="auto"/>
          </w:tcPr>
          <w:p w14:paraId="511A2565" w14:textId="77777777" w:rsidR="00027191" w:rsidRDefault="00FA6D3D">
            <w:pPr>
              <w:jc w:val="center"/>
            </w:pPr>
            <w:r>
              <w:rPr>
                <w:rFonts w:cs="Calibri"/>
                <w:color w:val="FF0000"/>
                <w:szCs w:val="20"/>
              </w:rPr>
              <w:t>(doplní dodavatel)</w:t>
            </w:r>
          </w:p>
        </w:tc>
        <w:tc>
          <w:tcPr>
            <w:tcW w:w="3821" w:type="dxa"/>
            <w:tcBorders>
              <w:top w:val="nil"/>
            </w:tcBorders>
            <w:shd w:val="clear" w:color="auto" w:fill="auto"/>
          </w:tcPr>
          <w:p w14:paraId="7319680F" w14:textId="77777777" w:rsidR="00027191" w:rsidRDefault="00FA6D3D">
            <w:pPr>
              <w:jc w:val="center"/>
            </w:pPr>
            <w:r>
              <w:rPr>
                <w:rFonts w:cs="Calibri"/>
                <w:color w:val="FF0000"/>
                <w:szCs w:val="20"/>
              </w:rPr>
              <w:t>(doplní dodavatel)</w:t>
            </w:r>
          </w:p>
        </w:tc>
      </w:tr>
      <w:tr w:rsidR="00027191" w14:paraId="47AB469F" w14:textId="77777777">
        <w:tc>
          <w:tcPr>
            <w:tcW w:w="4536" w:type="dxa"/>
            <w:tcBorders>
              <w:top w:val="nil"/>
            </w:tcBorders>
            <w:shd w:val="clear" w:color="auto" w:fill="auto"/>
          </w:tcPr>
          <w:p w14:paraId="690CC2B6" w14:textId="77777777" w:rsidR="00027191" w:rsidRDefault="00FA6D3D">
            <w:r>
              <w:t>Požadavek datové konektivity online do IS</w:t>
            </w:r>
          </w:p>
          <w:p w14:paraId="2996A054" w14:textId="77777777" w:rsidR="00027191" w:rsidRDefault="00027191">
            <w:pPr>
              <w:rPr>
                <w:color w:val="C9211E"/>
              </w:rPr>
            </w:pPr>
          </w:p>
        </w:tc>
        <w:tc>
          <w:tcPr>
            <w:tcW w:w="1276" w:type="dxa"/>
            <w:tcBorders>
              <w:top w:val="nil"/>
            </w:tcBorders>
            <w:shd w:val="clear" w:color="auto" w:fill="auto"/>
          </w:tcPr>
          <w:p w14:paraId="129172B0" w14:textId="77777777" w:rsidR="00027191" w:rsidRDefault="00FA6D3D">
            <w:pPr>
              <w:jc w:val="center"/>
            </w:pPr>
            <w:r>
              <w:rPr>
                <w:rFonts w:cs="Calibri"/>
                <w:color w:val="FF0000"/>
                <w:szCs w:val="20"/>
              </w:rPr>
              <w:t>(doplní dodavatel)</w:t>
            </w:r>
          </w:p>
        </w:tc>
        <w:tc>
          <w:tcPr>
            <w:tcW w:w="3821" w:type="dxa"/>
            <w:tcBorders>
              <w:top w:val="nil"/>
            </w:tcBorders>
            <w:shd w:val="clear" w:color="auto" w:fill="auto"/>
          </w:tcPr>
          <w:p w14:paraId="70E977F1" w14:textId="77777777" w:rsidR="00027191" w:rsidRDefault="00FA6D3D">
            <w:pPr>
              <w:jc w:val="center"/>
            </w:pPr>
            <w:r>
              <w:rPr>
                <w:rFonts w:cs="Calibri"/>
                <w:color w:val="FF0000"/>
                <w:szCs w:val="20"/>
              </w:rPr>
              <w:t>(doplní dodavatel)</w:t>
            </w:r>
          </w:p>
        </w:tc>
      </w:tr>
    </w:tbl>
    <w:p w14:paraId="10C11529" w14:textId="77777777" w:rsidR="00027191" w:rsidRDefault="00027191">
      <w:pPr>
        <w:rPr>
          <w:lang w:eastAsia="en-US"/>
        </w:rPr>
      </w:pPr>
    </w:p>
    <w:p w14:paraId="5A557FBD" w14:textId="77777777" w:rsidR="00027191" w:rsidRDefault="00027191">
      <w:pPr>
        <w:rPr>
          <w:lang w:eastAsia="en-US"/>
        </w:rPr>
      </w:pPr>
    </w:p>
    <w:p w14:paraId="1D125831" w14:textId="77777777" w:rsidR="00027191" w:rsidRDefault="00027191">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27191" w14:paraId="3AB9209F" w14:textId="77777777" w:rsidTr="00810151">
        <w:trPr>
          <w:trHeight w:val="387"/>
          <w:tblHeader/>
        </w:trPr>
        <w:tc>
          <w:tcPr>
            <w:tcW w:w="4536" w:type="dxa"/>
            <w:shd w:val="clear" w:color="auto" w:fill="FFFF00"/>
            <w:vAlign w:val="center"/>
          </w:tcPr>
          <w:p w14:paraId="63CE242B" w14:textId="77777777" w:rsidR="00027191" w:rsidRDefault="00FA6D3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FFF00"/>
            <w:vAlign w:val="center"/>
          </w:tcPr>
          <w:p w14:paraId="764E73B0" w14:textId="4A512183" w:rsidR="00027191" w:rsidRDefault="00810151">
            <w:r>
              <w:rPr>
                <w:rFonts w:asciiTheme="minorHAnsi" w:hAnsiTheme="minorHAnsi"/>
                <w:b/>
                <w:bCs/>
                <w:sz w:val="28"/>
                <w:szCs w:val="28"/>
              </w:rPr>
              <w:t>Transportní plicní ventilátor – 3 ks</w:t>
            </w:r>
          </w:p>
        </w:tc>
      </w:tr>
      <w:tr w:rsidR="00027191" w14:paraId="26194DBB" w14:textId="77777777">
        <w:tc>
          <w:tcPr>
            <w:tcW w:w="4536" w:type="dxa"/>
            <w:shd w:val="clear" w:color="auto" w:fill="F7CAAC" w:themeFill="accent2" w:themeFillTint="66"/>
          </w:tcPr>
          <w:p w14:paraId="6B254D00" w14:textId="77777777" w:rsidR="00027191" w:rsidRDefault="00FA6D3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107DFA8" w14:textId="77777777" w:rsidR="00027191" w:rsidRDefault="00FA6D3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61BDDCF" w14:textId="77777777" w:rsidR="00027191" w:rsidRDefault="00FA6D3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27191" w14:paraId="5CD9CFDF" w14:textId="77777777">
        <w:tc>
          <w:tcPr>
            <w:tcW w:w="4536" w:type="dxa"/>
            <w:shd w:val="clear" w:color="auto" w:fill="auto"/>
          </w:tcPr>
          <w:p w14:paraId="33C7B868" w14:textId="77777777" w:rsidR="00027191" w:rsidRDefault="00FA6D3D">
            <w:pPr>
              <w:rPr>
                <w:color w:val="000000"/>
                <w:szCs w:val="20"/>
              </w:rPr>
            </w:pPr>
            <w:r>
              <w:rPr>
                <w:rFonts w:eastAsia="Arial Unicode MS" w:cs="Calibri"/>
                <w:color w:val="000000"/>
                <w:szCs w:val="20"/>
              </w:rPr>
              <w:t>Ventilátor musí obsahovat ventilační režimy, které jsou synchronizovány jak s dechovou aktivitou pacienta, tak s režimy řízené ventilace</w:t>
            </w:r>
          </w:p>
        </w:tc>
        <w:tc>
          <w:tcPr>
            <w:tcW w:w="1276" w:type="dxa"/>
            <w:shd w:val="clear" w:color="auto" w:fill="auto"/>
            <w:vAlign w:val="center"/>
          </w:tcPr>
          <w:p w14:paraId="0FFA2D79"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0BAF3D92"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33C640DF" w14:textId="77777777">
        <w:tc>
          <w:tcPr>
            <w:tcW w:w="4536" w:type="dxa"/>
            <w:shd w:val="clear" w:color="auto" w:fill="auto"/>
          </w:tcPr>
          <w:p w14:paraId="2B0882F1" w14:textId="77777777" w:rsidR="00027191" w:rsidRDefault="00FA6D3D">
            <w:pPr>
              <w:rPr>
                <w:szCs w:val="20"/>
              </w:rPr>
            </w:pPr>
            <w:r>
              <w:rPr>
                <w:szCs w:val="20"/>
              </w:rPr>
              <w:t>Objem min. v rozsahu 50-2000 ml</w:t>
            </w:r>
          </w:p>
        </w:tc>
        <w:tc>
          <w:tcPr>
            <w:tcW w:w="1276" w:type="dxa"/>
            <w:shd w:val="clear" w:color="auto" w:fill="auto"/>
            <w:vAlign w:val="center"/>
          </w:tcPr>
          <w:p w14:paraId="009424BB"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E51D0DB"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334A2FEF" w14:textId="77777777">
        <w:tc>
          <w:tcPr>
            <w:tcW w:w="4536" w:type="dxa"/>
            <w:shd w:val="clear" w:color="auto" w:fill="auto"/>
          </w:tcPr>
          <w:p w14:paraId="57B36BC0" w14:textId="77777777" w:rsidR="00027191" w:rsidRDefault="00FA6D3D">
            <w:r>
              <w:rPr>
                <w:szCs w:val="20"/>
              </w:rPr>
              <w:t>Hmotnost max. 7 kg, nosná jednotka s madlem</w:t>
            </w:r>
          </w:p>
        </w:tc>
        <w:tc>
          <w:tcPr>
            <w:tcW w:w="1276" w:type="dxa"/>
            <w:shd w:val="clear" w:color="auto" w:fill="auto"/>
            <w:vAlign w:val="center"/>
          </w:tcPr>
          <w:p w14:paraId="19397C32"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D5E3CAA"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0F26100D" w14:textId="77777777">
        <w:tc>
          <w:tcPr>
            <w:tcW w:w="4536" w:type="dxa"/>
            <w:shd w:val="clear" w:color="auto" w:fill="auto"/>
          </w:tcPr>
          <w:p w14:paraId="401DA610" w14:textId="77777777" w:rsidR="00027191" w:rsidRDefault="00FA6D3D">
            <w:r>
              <w:rPr>
                <w:szCs w:val="20"/>
              </w:rPr>
              <w:t xml:space="preserve">displej barevný min. 4" </w:t>
            </w:r>
          </w:p>
        </w:tc>
        <w:tc>
          <w:tcPr>
            <w:tcW w:w="1276" w:type="dxa"/>
            <w:shd w:val="clear" w:color="auto" w:fill="auto"/>
            <w:vAlign w:val="center"/>
          </w:tcPr>
          <w:p w14:paraId="4C787D2B"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566ADCB"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7C9E6B92" w14:textId="77777777">
        <w:tc>
          <w:tcPr>
            <w:tcW w:w="4536" w:type="dxa"/>
            <w:shd w:val="clear" w:color="auto" w:fill="auto"/>
          </w:tcPr>
          <w:p w14:paraId="42428B41" w14:textId="77777777" w:rsidR="00027191" w:rsidRDefault="00FA6D3D">
            <w:r>
              <w:rPr>
                <w:szCs w:val="20"/>
              </w:rPr>
              <w:t xml:space="preserve">Provoz na baterii min. 7 hodin  </w:t>
            </w:r>
          </w:p>
        </w:tc>
        <w:tc>
          <w:tcPr>
            <w:tcW w:w="1276" w:type="dxa"/>
            <w:shd w:val="clear" w:color="auto" w:fill="auto"/>
            <w:vAlign w:val="center"/>
          </w:tcPr>
          <w:p w14:paraId="0DE50FDD"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279E3D32"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30455FB1" w14:textId="77777777">
        <w:tc>
          <w:tcPr>
            <w:tcW w:w="4536" w:type="dxa"/>
            <w:shd w:val="clear" w:color="auto" w:fill="auto"/>
          </w:tcPr>
          <w:p w14:paraId="6491BA05" w14:textId="77777777" w:rsidR="00027191" w:rsidRDefault="00FA6D3D">
            <w:pPr>
              <w:rPr>
                <w:rFonts w:ascii="CIDFont+F2" w:hAnsi="CIDFont+F2"/>
                <w:szCs w:val="20"/>
              </w:rPr>
            </w:pPr>
            <w:r>
              <w:rPr>
                <w:szCs w:val="20"/>
              </w:rPr>
              <w:t xml:space="preserve">Pacientský okruh pro opakované použití </w:t>
            </w:r>
            <w:proofErr w:type="gramStart"/>
            <w:r>
              <w:rPr>
                <w:szCs w:val="20"/>
              </w:rPr>
              <w:t>2m</w:t>
            </w:r>
            <w:proofErr w:type="gramEnd"/>
          </w:p>
          <w:p w14:paraId="459A46EE" w14:textId="77777777" w:rsidR="00027191" w:rsidRDefault="00027191">
            <w:pPr>
              <w:jc w:val="center"/>
              <w:rPr>
                <w:szCs w:val="20"/>
              </w:rPr>
            </w:pPr>
          </w:p>
        </w:tc>
        <w:tc>
          <w:tcPr>
            <w:tcW w:w="1276" w:type="dxa"/>
            <w:shd w:val="clear" w:color="auto" w:fill="auto"/>
            <w:vAlign w:val="center"/>
          </w:tcPr>
          <w:p w14:paraId="4A9FEEA1"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74926BFB"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195E39F1" w14:textId="77777777">
        <w:tc>
          <w:tcPr>
            <w:tcW w:w="4536" w:type="dxa"/>
            <w:shd w:val="clear" w:color="auto" w:fill="auto"/>
          </w:tcPr>
          <w:p w14:paraId="7074C52A" w14:textId="77777777" w:rsidR="00027191" w:rsidRDefault="00FA6D3D">
            <w:pPr>
              <w:tabs>
                <w:tab w:val="left" w:pos="1185"/>
              </w:tabs>
              <w:rPr>
                <w:szCs w:val="20"/>
              </w:rPr>
            </w:pPr>
            <w:r>
              <w:rPr>
                <w:szCs w:val="20"/>
              </w:rPr>
              <w:t>režim inhalace kyslíku 0-10 l/min</w:t>
            </w:r>
          </w:p>
        </w:tc>
        <w:tc>
          <w:tcPr>
            <w:tcW w:w="1276" w:type="dxa"/>
            <w:shd w:val="clear" w:color="auto" w:fill="auto"/>
            <w:vAlign w:val="center"/>
          </w:tcPr>
          <w:p w14:paraId="4ABCE17B" w14:textId="77777777" w:rsidR="00027191" w:rsidRDefault="00FA6D3D">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B230406" w14:textId="77777777" w:rsidR="00027191" w:rsidRDefault="00FA6D3D">
            <w:pPr>
              <w:jc w:val="center"/>
              <w:rPr>
                <w:rFonts w:ascii="Calibri" w:hAnsi="Calibri" w:cs="Calibri"/>
                <w:color w:val="FF0000"/>
                <w:szCs w:val="20"/>
              </w:rPr>
            </w:pPr>
            <w:r>
              <w:rPr>
                <w:rFonts w:cs="Calibri"/>
                <w:color w:val="FF0000"/>
                <w:szCs w:val="20"/>
              </w:rPr>
              <w:t>(doplní dodavatel)</w:t>
            </w:r>
          </w:p>
        </w:tc>
      </w:tr>
      <w:tr w:rsidR="00027191" w14:paraId="43ED3FEE" w14:textId="77777777">
        <w:tc>
          <w:tcPr>
            <w:tcW w:w="4536" w:type="dxa"/>
            <w:tcBorders>
              <w:top w:val="nil"/>
            </w:tcBorders>
            <w:shd w:val="clear" w:color="auto" w:fill="auto"/>
          </w:tcPr>
          <w:p w14:paraId="4EE18B45" w14:textId="77777777" w:rsidR="00027191" w:rsidRDefault="00FA6D3D">
            <w:pPr>
              <w:tabs>
                <w:tab w:val="left" w:pos="1185"/>
              </w:tabs>
            </w:pPr>
            <w:r>
              <w:t xml:space="preserve">Integrovaná </w:t>
            </w:r>
            <w:proofErr w:type="spellStart"/>
            <w:r>
              <w:t>kapnometrie</w:t>
            </w:r>
            <w:proofErr w:type="spellEnd"/>
          </w:p>
        </w:tc>
        <w:tc>
          <w:tcPr>
            <w:tcW w:w="1276" w:type="dxa"/>
            <w:tcBorders>
              <w:top w:val="nil"/>
            </w:tcBorders>
            <w:shd w:val="clear" w:color="auto" w:fill="auto"/>
            <w:vAlign w:val="center"/>
          </w:tcPr>
          <w:p w14:paraId="3DA8C32A" w14:textId="77777777" w:rsidR="00027191" w:rsidRDefault="00FA6D3D">
            <w:pPr>
              <w:jc w:val="center"/>
            </w:pPr>
            <w:r>
              <w:rPr>
                <w:rFonts w:cs="Calibri"/>
                <w:color w:val="FF0000"/>
                <w:szCs w:val="20"/>
              </w:rPr>
              <w:t>(doplní dodavatel)</w:t>
            </w:r>
          </w:p>
        </w:tc>
        <w:tc>
          <w:tcPr>
            <w:tcW w:w="3821" w:type="dxa"/>
            <w:tcBorders>
              <w:top w:val="nil"/>
            </w:tcBorders>
            <w:shd w:val="clear" w:color="auto" w:fill="auto"/>
            <w:vAlign w:val="center"/>
          </w:tcPr>
          <w:p w14:paraId="0E53E7B8" w14:textId="77777777" w:rsidR="00027191" w:rsidRDefault="00FA6D3D">
            <w:pPr>
              <w:jc w:val="center"/>
            </w:pPr>
            <w:r>
              <w:rPr>
                <w:rFonts w:cs="Calibri"/>
                <w:color w:val="FF0000"/>
                <w:szCs w:val="20"/>
              </w:rPr>
              <w:t>(doplní dodavatel)</w:t>
            </w:r>
          </w:p>
        </w:tc>
      </w:tr>
      <w:tr w:rsidR="00027191" w14:paraId="6DCBCCD2" w14:textId="77777777">
        <w:tc>
          <w:tcPr>
            <w:tcW w:w="4536" w:type="dxa"/>
            <w:tcBorders>
              <w:top w:val="nil"/>
            </w:tcBorders>
            <w:shd w:val="clear" w:color="auto" w:fill="auto"/>
          </w:tcPr>
          <w:p w14:paraId="7FBA6F3D" w14:textId="77777777" w:rsidR="00027191" w:rsidRDefault="00FA6D3D">
            <w:pPr>
              <w:tabs>
                <w:tab w:val="left" w:pos="1185"/>
              </w:tabs>
              <w:rPr>
                <w:highlight w:val="yellow"/>
              </w:rPr>
            </w:pPr>
            <w:r>
              <w:t>možnost neinvazivní ventilace</w:t>
            </w:r>
          </w:p>
          <w:p w14:paraId="2E4A78F0" w14:textId="77777777" w:rsidR="00027191" w:rsidRDefault="00027191">
            <w:pPr>
              <w:tabs>
                <w:tab w:val="left" w:pos="1185"/>
              </w:tabs>
              <w:rPr>
                <w:color w:val="C9211E"/>
              </w:rPr>
            </w:pPr>
          </w:p>
        </w:tc>
        <w:tc>
          <w:tcPr>
            <w:tcW w:w="1276" w:type="dxa"/>
            <w:tcBorders>
              <w:top w:val="nil"/>
            </w:tcBorders>
            <w:shd w:val="clear" w:color="auto" w:fill="auto"/>
            <w:vAlign w:val="center"/>
          </w:tcPr>
          <w:p w14:paraId="7A0E59BD" w14:textId="77777777" w:rsidR="00027191" w:rsidRDefault="00FA6D3D">
            <w:pPr>
              <w:jc w:val="center"/>
            </w:pPr>
            <w:r>
              <w:rPr>
                <w:rFonts w:cs="Calibri"/>
                <w:color w:val="FF0000"/>
                <w:szCs w:val="20"/>
              </w:rPr>
              <w:t>(doplní dodavatel)</w:t>
            </w:r>
          </w:p>
        </w:tc>
        <w:tc>
          <w:tcPr>
            <w:tcW w:w="3821" w:type="dxa"/>
            <w:tcBorders>
              <w:top w:val="nil"/>
            </w:tcBorders>
            <w:shd w:val="clear" w:color="auto" w:fill="auto"/>
            <w:vAlign w:val="center"/>
          </w:tcPr>
          <w:p w14:paraId="13959D9A" w14:textId="77777777" w:rsidR="00027191" w:rsidRDefault="00FA6D3D">
            <w:pPr>
              <w:jc w:val="center"/>
            </w:pPr>
            <w:r>
              <w:rPr>
                <w:rFonts w:cs="Calibri"/>
                <w:color w:val="FF0000"/>
                <w:szCs w:val="20"/>
              </w:rPr>
              <w:t>(doplní dodavatel)</w:t>
            </w:r>
          </w:p>
        </w:tc>
      </w:tr>
      <w:tr w:rsidR="00027191" w14:paraId="46795D17" w14:textId="77777777">
        <w:tc>
          <w:tcPr>
            <w:tcW w:w="4536" w:type="dxa"/>
            <w:tcBorders>
              <w:top w:val="nil"/>
            </w:tcBorders>
            <w:shd w:val="clear" w:color="auto" w:fill="auto"/>
          </w:tcPr>
          <w:p w14:paraId="3E7D971D" w14:textId="77777777" w:rsidR="00027191" w:rsidRDefault="00FA6D3D">
            <w:pPr>
              <w:tabs>
                <w:tab w:val="left" w:pos="1185"/>
              </w:tabs>
            </w:pPr>
            <w:r>
              <w:t>možnost terapie O2</w:t>
            </w:r>
          </w:p>
        </w:tc>
        <w:tc>
          <w:tcPr>
            <w:tcW w:w="1276" w:type="dxa"/>
            <w:tcBorders>
              <w:top w:val="nil"/>
            </w:tcBorders>
            <w:shd w:val="clear" w:color="auto" w:fill="auto"/>
            <w:vAlign w:val="center"/>
          </w:tcPr>
          <w:p w14:paraId="731B1311" w14:textId="77777777" w:rsidR="00027191" w:rsidRDefault="00FA6D3D">
            <w:pPr>
              <w:jc w:val="center"/>
            </w:pPr>
            <w:r>
              <w:rPr>
                <w:rFonts w:cs="Calibri"/>
                <w:color w:val="FF0000"/>
                <w:szCs w:val="20"/>
              </w:rPr>
              <w:t>(doplní dodavatel)</w:t>
            </w:r>
          </w:p>
        </w:tc>
        <w:tc>
          <w:tcPr>
            <w:tcW w:w="3821" w:type="dxa"/>
            <w:tcBorders>
              <w:top w:val="nil"/>
            </w:tcBorders>
            <w:shd w:val="clear" w:color="auto" w:fill="auto"/>
            <w:vAlign w:val="center"/>
          </w:tcPr>
          <w:p w14:paraId="70B763B7" w14:textId="77777777" w:rsidR="00027191" w:rsidRDefault="00FA6D3D">
            <w:pPr>
              <w:jc w:val="center"/>
            </w:pPr>
            <w:r>
              <w:rPr>
                <w:rFonts w:cs="Calibri"/>
                <w:color w:val="FF0000"/>
                <w:szCs w:val="20"/>
              </w:rPr>
              <w:t>(doplní dodavatel)</w:t>
            </w:r>
          </w:p>
        </w:tc>
      </w:tr>
      <w:tr w:rsidR="00027191" w14:paraId="145D999F" w14:textId="77777777">
        <w:tc>
          <w:tcPr>
            <w:tcW w:w="4536" w:type="dxa"/>
            <w:tcBorders>
              <w:top w:val="nil"/>
            </w:tcBorders>
            <w:shd w:val="clear" w:color="auto" w:fill="auto"/>
          </w:tcPr>
          <w:p w14:paraId="38F50DB4" w14:textId="77777777" w:rsidR="00027191" w:rsidRDefault="00FA6D3D">
            <w:pPr>
              <w:tabs>
                <w:tab w:val="left" w:pos="1185"/>
              </w:tabs>
              <w:rPr>
                <w:highlight w:val="yellow"/>
              </w:rPr>
            </w:pPr>
            <w:r>
              <w:lastRenderedPageBreak/>
              <w:t>Objemově, tlakově řízená ventilace a podpora spontánního dýchání</w:t>
            </w:r>
          </w:p>
          <w:p w14:paraId="2C1B7DC5" w14:textId="77777777" w:rsidR="00027191" w:rsidRDefault="00027191">
            <w:pPr>
              <w:tabs>
                <w:tab w:val="left" w:pos="1185"/>
              </w:tabs>
              <w:rPr>
                <w:color w:val="C9211E"/>
                <w:highlight w:val="darkYellow"/>
              </w:rPr>
            </w:pPr>
          </w:p>
        </w:tc>
        <w:tc>
          <w:tcPr>
            <w:tcW w:w="1276" w:type="dxa"/>
            <w:tcBorders>
              <w:top w:val="nil"/>
            </w:tcBorders>
            <w:shd w:val="clear" w:color="auto" w:fill="auto"/>
            <w:vAlign w:val="center"/>
          </w:tcPr>
          <w:p w14:paraId="35B4BE11" w14:textId="77777777" w:rsidR="00027191" w:rsidRDefault="00FA6D3D">
            <w:pPr>
              <w:jc w:val="center"/>
            </w:pPr>
            <w:r>
              <w:rPr>
                <w:rFonts w:cs="Calibri"/>
                <w:color w:val="FF0000"/>
                <w:szCs w:val="20"/>
              </w:rPr>
              <w:t>(doplní dodavatel)</w:t>
            </w:r>
          </w:p>
        </w:tc>
        <w:tc>
          <w:tcPr>
            <w:tcW w:w="3821" w:type="dxa"/>
            <w:tcBorders>
              <w:top w:val="nil"/>
            </w:tcBorders>
            <w:shd w:val="clear" w:color="auto" w:fill="auto"/>
            <w:vAlign w:val="center"/>
          </w:tcPr>
          <w:p w14:paraId="71EC614C" w14:textId="77777777" w:rsidR="00027191" w:rsidRDefault="00FA6D3D">
            <w:pPr>
              <w:jc w:val="center"/>
            </w:pPr>
            <w:r>
              <w:rPr>
                <w:rFonts w:cs="Calibri"/>
                <w:color w:val="FF0000"/>
                <w:szCs w:val="20"/>
              </w:rPr>
              <w:t>(doplní dodavatel)</w:t>
            </w:r>
          </w:p>
        </w:tc>
      </w:tr>
      <w:tr w:rsidR="00027191" w14:paraId="7573D549" w14:textId="77777777">
        <w:tc>
          <w:tcPr>
            <w:tcW w:w="4536" w:type="dxa"/>
            <w:tcBorders>
              <w:top w:val="nil"/>
            </w:tcBorders>
            <w:shd w:val="clear" w:color="auto" w:fill="auto"/>
          </w:tcPr>
          <w:p w14:paraId="65DB29B9" w14:textId="77777777" w:rsidR="00027191" w:rsidRDefault="00FA6D3D">
            <w:pPr>
              <w:tabs>
                <w:tab w:val="left" w:pos="1185"/>
              </w:tabs>
            </w:pPr>
            <w:proofErr w:type="spellStart"/>
            <w:r>
              <w:t>Flow</w:t>
            </w:r>
            <w:proofErr w:type="spellEnd"/>
            <w:r>
              <w:t xml:space="preserve"> </w:t>
            </w:r>
            <w:proofErr w:type="spellStart"/>
            <w:r>
              <w:t>trigger</w:t>
            </w:r>
            <w:proofErr w:type="spellEnd"/>
            <w:r>
              <w:t xml:space="preserve"> od 1 l/min</w:t>
            </w:r>
          </w:p>
        </w:tc>
        <w:tc>
          <w:tcPr>
            <w:tcW w:w="1276" w:type="dxa"/>
            <w:tcBorders>
              <w:top w:val="nil"/>
            </w:tcBorders>
            <w:shd w:val="clear" w:color="auto" w:fill="auto"/>
            <w:vAlign w:val="center"/>
          </w:tcPr>
          <w:p w14:paraId="23DC8A8E" w14:textId="77777777" w:rsidR="00027191" w:rsidRDefault="00FA6D3D">
            <w:pPr>
              <w:jc w:val="center"/>
            </w:pPr>
            <w:r>
              <w:rPr>
                <w:rFonts w:cs="Calibri"/>
                <w:color w:val="FF0000"/>
                <w:szCs w:val="20"/>
              </w:rPr>
              <w:t>(doplní dodavatel)</w:t>
            </w:r>
          </w:p>
        </w:tc>
        <w:tc>
          <w:tcPr>
            <w:tcW w:w="3821" w:type="dxa"/>
            <w:tcBorders>
              <w:top w:val="nil"/>
            </w:tcBorders>
            <w:shd w:val="clear" w:color="auto" w:fill="auto"/>
            <w:vAlign w:val="center"/>
          </w:tcPr>
          <w:p w14:paraId="5EBC3616" w14:textId="77777777" w:rsidR="00027191" w:rsidRDefault="00FA6D3D">
            <w:pPr>
              <w:jc w:val="center"/>
            </w:pPr>
            <w:r>
              <w:rPr>
                <w:rFonts w:cs="Calibri"/>
                <w:color w:val="FF0000"/>
                <w:szCs w:val="20"/>
              </w:rPr>
              <w:t>(doplní dodavatel)</w:t>
            </w:r>
          </w:p>
        </w:tc>
      </w:tr>
    </w:tbl>
    <w:p w14:paraId="77CA55EA" w14:textId="77777777" w:rsidR="00027191" w:rsidRDefault="00027191">
      <w:pPr>
        <w:rPr>
          <w:lang w:eastAsia="en-US"/>
        </w:rPr>
      </w:pPr>
    </w:p>
    <w:p w14:paraId="284EF0B7" w14:textId="77777777" w:rsidR="00027191" w:rsidRDefault="00FA6D3D">
      <w:pPr>
        <w:pStyle w:val="Nadpis2"/>
        <w:spacing w:before="240"/>
      </w:pPr>
      <w:r>
        <w:rPr>
          <w:sz w:val="22"/>
          <w:szCs w:val="22"/>
        </w:rPr>
        <w:t xml:space="preserve">Na všechny číselné parametry je tolerance +/- </w:t>
      </w:r>
      <w:proofErr w:type="gramStart"/>
      <w:r>
        <w:rPr>
          <w:sz w:val="22"/>
          <w:szCs w:val="22"/>
        </w:rPr>
        <w:t>10%</w:t>
      </w:r>
      <w:proofErr w:type="gramEnd"/>
      <w:r>
        <w:rPr>
          <w:sz w:val="22"/>
          <w:szCs w:val="22"/>
        </w:rPr>
        <w:t>, mimo číselné parametry uvedené jako min. nebo max.</w:t>
      </w:r>
    </w:p>
    <w:p w14:paraId="777555F3" w14:textId="77777777" w:rsidR="00027191" w:rsidRDefault="00027191"/>
    <w:p w14:paraId="6B6F3154" w14:textId="77777777" w:rsidR="00027191" w:rsidRDefault="00027191">
      <w:pPr>
        <w:rPr>
          <w:lang w:eastAsia="en-US"/>
        </w:rPr>
      </w:pPr>
    </w:p>
    <w:tbl>
      <w:tblPr>
        <w:tblStyle w:val="Mkatabulky"/>
        <w:tblW w:w="9639" w:type="dxa"/>
        <w:jc w:val="center"/>
        <w:tblLook w:val="04A0" w:firstRow="1" w:lastRow="0" w:firstColumn="1" w:lastColumn="0" w:noHBand="0" w:noVBand="1"/>
      </w:tblPr>
      <w:tblGrid>
        <w:gridCol w:w="7797"/>
        <w:gridCol w:w="1842"/>
      </w:tblGrid>
      <w:tr w:rsidR="00027191" w14:paraId="3E08D9A2" w14:textId="77777777">
        <w:trPr>
          <w:tblHeader/>
          <w:jc w:val="center"/>
        </w:trPr>
        <w:tc>
          <w:tcPr>
            <w:tcW w:w="7796" w:type="dxa"/>
            <w:shd w:val="clear" w:color="auto" w:fill="F7CAAC" w:themeFill="accent2" w:themeFillTint="66"/>
          </w:tcPr>
          <w:p w14:paraId="23C44CA4" w14:textId="77777777" w:rsidR="00027191" w:rsidRDefault="00027191">
            <w:pPr>
              <w:pStyle w:val="Nadpis6"/>
              <w:suppressAutoHyphens w:val="0"/>
              <w:jc w:val="center"/>
              <w:rPr>
                <w:rFonts w:eastAsia="Times New Roman" w:cs="Times New Roman"/>
                <w:lang w:eastAsia="cs-CZ"/>
              </w:rPr>
            </w:pPr>
          </w:p>
          <w:p w14:paraId="3CBD036C" w14:textId="77777777" w:rsidR="00027191" w:rsidRDefault="00FA6D3D">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3A3929E4" w14:textId="77777777" w:rsidR="00027191" w:rsidRDefault="00FA6D3D">
            <w:pPr>
              <w:jc w:val="center"/>
              <w:rPr>
                <w:rFonts w:ascii="Calibri" w:hAnsi="Calibri"/>
                <w:b/>
                <w:sz w:val="22"/>
                <w:szCs w:val="22"/>
              </w:rPr>
            </w:pPr>
            <w:r>
              <w:rPr>
                <w:rFonts w:ascii="Calibri" w:hAnsi="Calibri"/>
                <w:b/>
                <w:sz w:val="22"/>
                <w:szCs w:val="22"/>
              </w:rPr>
              <w:t>Splnění požadavku ANO/NE</w:t>
            </w:r>
          </w:p>
        </w:tc>
      </w:tr>
      <w:tr w:rsidR="00027191" w14:paraId="640DB735" w14:textId="77777777">
        <w:trPr>
          <w:jc w:val="center"/>
        </w:trPr>
        <w:tc>
          <w:tcPr>
            <w:tcW w:w="7796" w:type="dxa"/>
            <w:shd w:val="clear" w:color="auto" w:fill="auto"/>
            <w:vAlign w:val="center"/>
          </w:tcPr>
          <w:p w14:paraId="7491F277" w14:textId="77777777" w:rsidR="00027191" w:rsidRDefault="00FA6D3D">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1E0FBE89" w14:textId="77777777" w:rsidR="00027191" w:rsidRDefault="00FA6D3D">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5D0D589F" w14:textId="77777777" w:rsidR="00027191" w:rsidRDefault="00FA6D3D">
            <w:pPr>
              <w:jc w:val="center"/>
            </w:pPr>
            <w:r>
              <w:rPr>
                <w:rFonts w:ascii="Calibri" w:hAnsi="Calibri" w:cs="Calibri"/>
                <w:color w:val="FF0000"/>
                <w:szCs w:val="20"/>
              </w:rPr>
              <w:t>(doplní dodavatel)</w:t>
            </w:r>
          </w:p>
        </w:tc>
      </w:tr>
      <w:tr w:rsidR="00027191" w14:paraId="44C3B895" w14:textId="77777777">
        <w:trPr>
          <w:jc w:val="center"/>
        </w:trPr>
        <w:tc>
          <w:tcPr>
            <w:tcW w:w="7796" w:type="dxa"/>
            <w:shd w:val="clear" w:color="auto" w:fill="auto"/>
            <w:vAlign w:val="center"/>
          </w:tcPr>
          <w:p w14:paraId="7D3A5839" w14:textId="77777777" w:rsidR="00027191" w:rsidRDefault="00FA6D3D">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42577918" w14:textId="77777777" w:rsidR="00027191" w:rsidRDefault="00FA6D3D">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30CD6742" w14:textId="77777777" w:rsidR="00027191" w:rsidRDefault="00FA6D3D">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52FF2B23" w14:textId="77777777" w:rsidR="00027191" w:rsidRDefault="00FA6D3D">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2226C797" w14:textId="77777777" w:rsidR="00027191" w:rsidRDefault="00FA6D3D">
            <w:pPr>
              <w:jc w:val="center"/>
            </w:pPr>
            <w:r>
              <w:rPr>
                <w:rFonts w:ascii="Calibri" w:hAnsi="Calibri" w:cs="Calibri"/>
                <w:color w:val="FF0000"/>
                <w:szCs w:val="20"/>
              </w:rPr>
              <w:t>(doplní dodavatel)</w:t>
            </w:r>
          </w:p>
        </w:tc>
      </w:tr>
    </w:tbl>
    <w:p w14:paraId="238D05F8" w14:textId="77777777" w:rsidR="00027191" w:rsidRDefault="00027191">
      <w:pPr>
        <w:rPr>
          <w:lang w:eastAsia="en-US"/>
        </w:rPr>
      </w:pPr>
    </w:p>
    <w:p w14:paraId="742ACCC3" w14:textId="77777777" w:rsidR="00027191" w:rsidRDefault="00027191">
      <w:pPr>
        <w:rPr>
          <w:lang w:eastAsia="en-US"/>
        </w:rPr>
      </w:pPr>
    </w:p>
    <w:tbl>
      <w:tblPr>
        <w:tblStyle w:val="Mkatabulky"/>
        <w:tblW w:w="9639" w:type="dxa"/>
        <w:jc w:val="center"/>
        <w:tblLook w:val="04A0" w:firstRow="1" w:lastRow="0" w:firstColumn="1" w:lastColumn="0" w:noHBand="0" w:noVBand="1"/>
      </w:tblPr>
      <w:tblGrid>
        <w:gridCol w:w="7797"/>
        <w:gridCol w:w="1842"/>
      </w:tblGrid>
      <w:tr w:rsidR="00027191" w14:paraId="4C23057D" w14:textId="77777777">
        <w:trPr>
          <w:tblHeader/>
          <w:jc w:val="center"/>
        </w:trPr>
        <w:tc>
          <w:tcPr>
            <w:tcW w:w="7796" w:type="dxa"/>
            <w:shd w:val="clear" w:color="auto" w:fill="F7CAAC" w:themeFill="accent2" w:themeFillTint="66"/>
          </w:tcPr>
          <w:p w14:paraId="28FE5498" w14:textId="77777777" w:rsidR="00027191" w:rsidRDefault="00027191">
            <w:pPr>
              <w:pStyle w:val="Nadpis6"/>
              <w:suppressAutoHyphens w:val="0"/>
              <w:jc w:val="center"/>
              <w:rPr>
                <w:rFonts w:eastAsia="Times New Roman" w:cs="Times New Roman"/>
                <w:lang w:eastAsia="cs-CZ"/>
              </w:rPr>
            </w:pPr>
          </w:p>
          <w:p w14:paraId="40001985" w14:textId="77777777" w:rsidR="00027191" w:rsidRDefault="00FA6D3D">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5EDFD609" w14:textId="77777777" w:rsidR="00027191" w:rsidRDefault="00FA6D3D">
            <w:pPr>
              <w:jc w:val="center"/>
              <w:rPr>
                <w:rFonts w:ascii="Calibri" w:hAnsi="Calibri"/>
                <w:b/>
                <w:sz w:val="22"/>
                <w:szCs w:val="22"/>
              </w:rPr>
            </w:pPr>
            <w:r>
              <w:rPr>
                <w:rFonts w:ascii="Calibri" w:hAnsi="Calibri"/>
                <w:b/>
                <w:sz w:val="22"/>
                <w:szCs w:val="22"/>
              </w:rPr>
              <w:t>Splnění požadavku ANO/NE</w:t>
            </w:r>
          </w:p>
        </w:tc>
      </w:tr>
      <w:tr w:rsidR="00027191" w14:paraId="2A630860" w14:textId="77777777">
        <w:trPr>
          <w:jc w:val="center"/>
        </w:trPr>
        <w:tc>
          <w:tcPr>
            <w:tcW w:w="7796" w:type="dxa"/>
            <w:shd w:val="clear" w:color="auto" w:fill="auto"/>
            <w:vAlign w:val="center"/>
          </w:tcPr>
          <w:p w14:paraId="76966DAA" w14:textId="77777777" w:rsidR="00027191" w:rsidRDefault="00FA6D3D">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03FA0A1F" w14:textId="77777777" w:rsidR="00027191" w:rsidRDefault="00FA6D3D">
            <w:r>
              <w:rPr>
                <w:rFonts w:ascii="Calibri" w:hAnsi="Calibri" w:cs="Calibri"/>
                <w:color w:val="FF0000"/>
                <w:szCs w:val="20"/>
              </w:rPr>
              <w:t>(doplní dodavatel)</w:t>
            </w:r>
          </w:p>
        </w:tc>
      </w:tr>
    </w:tbl>
    <w:p w14:paraId="34451ECC" w14:textId="44B53C77" w:rsidR="00027191" w:rsidRDefault="00027191">
      <w:pPr>
        <w:tabs>
          <w:tab w:val="left" w:pos="3081"/>
        </w:tabs>
      </w:pPr>
    </w:p>
    <w:p w14:paraId="77DD6D21" w14:textId="6F438BBF" w:rsidR="00810151" w:rsidRDefault="00810151">
      <w:pPr>
        <w:tabs>
          <w:tab w:val="left" w:pos="3081"/>
        </w:tabs>
      </w:pPr>
    </w:p>
    <w:p w14:paraId="0D551454" w14:textId="77777777" w:rsidR="00810151" w:rsidRDefault="00810151">
      <w:pPr>
        <w:tabs>
          <w:tab w:val="left" w:pos="3081"/>
        </w:tabs>
      </w:pPr>
    </w:p>
    <w:p w14:paraId="180A6D3D" w14:textId="77777777" w:rsidR="00810151" w:rsidRPr="00810151" w:rsidRDefault="00810151" w:rsidP="00810151">
      <w:pPr>
        <w:keepNext/>
        <w:numPr>
          <w:ilvl w:val="0"/>
          <w:numId w:val="4"/>
        </w:numPr>
        <w:overflowPunct/>
        <w:contextualSpacing/>
        <w:outlineLvl w:val="4"/>
        <w:rPr>
          <w:rFonts w:ascii="Calibri" w:hAnsi="Calibri" w:cs="Calibri"/>
          <w:b/>
          <w:bCs/>
          <w:sz w:val="28"/>
          <w:szCs w:val="28"/>
          <w:lang w:eastAsia="en-US"/>
        </w:rPr>
      </w:pPr>
      <w:r w:rsidRPr="00810151">
        <w:rPr>
          <w:rFonts w:ascii="Calibri" w:hAnsi="Calibri" w:cs="Calibri"/>
          <w:b/>
          <w:bCs/>
          <w:sz w:val="28"/>
          <w:szCs w:val="28"/>
          <w:lang w:eastAsia="en-US"/>
        </w:rPr>
        <w:t xml:space="preserve">Požadavky, které budou součástí dodávky předmětu plnění </w:t>
      </w:r>
    </w:p>
    <w:p w14:paraId="630D8BC2" w14:textId="77777777" w:rsidR="00810151" w:rsidRPr="00810151" w:rsidRDefault="00810151" w:rsidP="00810151">
      <w:pPr>
        <w:overflowPunct/>
        <w:rPr>
          <w:lang w:eastAsia="en-US"/>
        </w:rPr>
      </w:pPr>
    </w:p>
    <w:p w14:paraId="19B78013" w14:textId="77777777" w:rsidR="00810151" w:rsidRPr="00810151" w:rsidRDefault="00810151" w:rsidP="00810151">
      <w:pPr>
        <w:overflowPunct/>
        <w:rPr>
          <w:lang w:eastAsia="en-US"/>
        </w:rPr>
      </w:pPr>
      <w:r w:rsidRPr="00810151">
        <w:rPr>
          <w:lang w:eastAsia="en-US"/>
        </w:rPr>
        <w:t>DODAVATEL MÁ POVINNOST VYPLNIT SPLNĚNÍ POŽADAVKU V TABULCE ANO/NE. SPNĚNÍ UVEDENÝCH POŽADAVKŮ POŽADUJE ZADAVATEL V RÁMCI DODÁVKY PŘEDMĚTU PLNĚNÍ.</w:t>
      </w:r>
    </w:p>
    <w:p w14:paraId="2FB91047" w14:textId="77777777" w:rsidR="00810151" w:rsidRPr="00810151" w:rsidRDefault="00810151" w:rsidP="00810151">
      <w:pPr>
        <w:overflowPunct/>
        <w:rPr>
          <w:lang w:eastAsia="en-US"/>
        </w:rPr>
      </w:pPr>
    </w:p>
    <w:p w14:paraId="69B2302F" w14:textId="77777777" w:rsidR="00810151" w:rsidRPr="00810151" w:rsidRDefault="00810151" w:rsidP="00810151">
      <w:pPr>
        <w:overflowPunct/>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810151" w:rsidRPr="00810151" w14:paraId="37AE3014" w14:textId="77777777" w:rsidTr="009860B0">
        <w:trPr>
          <w:tblHeader/>
          <w:jc w:val="center"/>
        </w:trPr>
        <w:tc>
          <w:tcPr>
            <w:tcW w:w="7508" w:type="dxa"/>
            <w:shd w:val="clear" w:color="auto" w:fill="F7CAAC" w:themeFill="accent2" w:themeFillTint="66"/>
            <w:vAlign w:val="center"/>
          </w:tcPr>
          <w:p w14:paraId="73EF6458" w14:textId="77777777" w:rsidR="00810151" w:rsidRPr="00810151" w:rsidRDefault="00810151" w:rsidP="00810151">
            <w:pPr>
              <w:keepNext/>
              <w:overflowPunct/>
              <w:autoSpaceDE w:val="0"/>
              <w:autoSpaceDN w:val="0"/>
              <w:adjustRightInd w:val="0"/>
              <w:jc w:val="center"/>
              <w:outlineLvl w:val="5"/>
              <w:rPr>
                <w:rFonts w:ascii="Calibri" w:hAnsi="Calibri"/>
                <w:b/>
              </w:rPr>
            </w:pPr>
            <w:r w:rsidRPr="00810151">
              <w:rPr>
                <w:rFonts w:ascii="Calibri" w:hAnsi="Calibri"/>
                <w:b/>
              </w:rPr>
              <w:t>Požadavky, které budou součástí dodávky předmětu plnění</w:t>
            </w:r>
          </w:p>
        </w:tc>
        <w:tc>
          <w:tcPr>
            <w:tcW w:w="2131" w:type="dxa"/>
            <w:shd w:val="clear" w:color="auto" w:fill="F7CAAC" w:themeFill="accent2" w:themeFillTint="66"/>
          </w:tcPr>
          <w:p w14:paraId="41E98C0A" w14:textId="77777777" w:rsidR="00810151" w:rsidRPr="00810151" w:rsidRDefault="00810151" w:rsidP="00810151">
            <w:pPr>
              <w:overflowPunct/>
              <w:autoSpaceDE w:val="0"/>
              <w:autoSpaceDN w:val="0"/>
              <w:adjustRightInd w:val="0"/>
              <w:jc w:val="center"/>
              <w:rPr>
                <w:rFonts w:ascii="Calibri" w:hAnsi="Calibri"/>
                <w:b/>
              </w:rPr>
            </w:pPr>
            <w:r w:rsidRPr="00810151">
              <w:rPr>
                <w:rFonts w:ascii="Calibri" w:hAnsi="Calibri"/>
                <w:b/>
              </w:rPr>
              <w:t>Splnění požadavku ANO/NE</w:t>
            </w:r>
          </w:p>
        </w:tc>
      </w:tr>
      <w:tr w:rsidR="00810151" w:rsidRPr="00810151" w14:paraId="579F405D" w14:textId="77777777" w:rsidTr="009860B0">
        <w:trPr>
          <w:jc w:val="center"/>
        </w:trPr>
        <w:tc>
          <w:tcPr>
            <w:tcW w:w="7508" w:type="dxa"/>
            <w:vAlign w:val="center"/>
          </w:tcPr>
          <w:p w14:paraId="30773DF1" w14:textId="77777777" w:rsidR="00810151" w:rsidRPr="00810151" w:rsidRDefault="00810151" w:rsidP="00810151">
            <w:pPr>
              <w:overflowPunct/>
              <w:autoSpaceDE w:val="0"/>
              <w:autoSpaceDN w:val="0"/>
              <w:adjustRightInd w:val="0"/>
              <w:rPr>
                <w:rFonts w:ascii="Calibri" w:hAnsi="Calibri" w:cs="Calibri"/>
                <w:b/>
                <w:bCs/>
              </w:rPr>
            </w:pPr>
            <w:r w:rsidRPr="00810151">
              <w:rPr>
                <w:rFonts w:ascii="Calibri" w:hAnsi="Calibri" w:cs="Calibri"/>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699015BF" w14:textId="77777777" w:rsidR="00810151" w:rsidRPr="00810151" w:rsidRDefault="00810151" w:rsidP="0081015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810151" w:rsidRPr="00810151" w14:paraId="3D4F85F1" w14:textId="77777777" w:rsidTr="009860B0">
        <w:trPr>
          <w:jc w:val="center"/>
        </w:trPr>
        <w:tc>
          <w:tcPr>
            <w:tcW w:w="7508" w:type="dxa"/>
            <w:vAlign w:val="center"/>
          </w:tcPr>
          <w:p w14:paraId="137512EB" w14:textId="77777777" w:rsidR="00810151" w:rsidRPr="00810151" w:rsidRDefault="00810151" w:rsidP="00810151">
            <w:pPr>
              <w:overflowPunct/>
              <w:autoSpaceDE w:val="0"/>
              <w:autoSpaceDN w:val="0"/>
              <w:adjustRightInd w:val="0"/>
              <w:rPr>
                <w:rFonts w:ascii="Calibri" w:hAnsi="Calibri" w:cs="Calibri"/>
              </w:rPr>
            </w:pPr>
            <w:r w:rsidRPr="00810151">
              <w:rPr>
                <w:rFonts w:ascii="Calibri" w:hAnsi="Calibri" w:cs="Calibri"/>
              </w:rPr>
              <w:t>Dodání návodu k použití v ČJ a prohlášení o shodě v papírové i elektronické verzi.</w:t>
            </w:r>
          </w:p>
        </w:tc>
        <w:tc>
          <w:tcPr>
            <w:tcW w:w="2131" w:type="dxa"/>
            <w:vAlign w:val="center"/>
          </w:tcPr>
          <w:p w14:paraId="0D6380C4" w14:textId="77777777" w:rsidR="00810151" w:rsidRPr="00810151" w:rsidRDefault="00810151" w:rsidP="0081015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810151" w:rsidRPr="00810151" w14:paraId="100FC688" w14:textId="77777777" w:rsidTr="009860B0">
        <w:trPr>
          <w:jc w:val="center"/>
        </w:trPr>
        <w:tc>
          <w:tcPr>
            <w:tcW w:w="7508" w:type="dxa"/>
            <w:vAlign w:val="center"/>
          </w:tcPr>
          <w:p w14:paraId="2ED244DF" w14:textId="77777777" w:rsidR="00810151" w:rsidRPr="00810151" w:rsidRDefault="00810151" w:rsidP="00810151">
            <w:pPr>
              <w:overflowPunct/>
              <w:autoSpaceDE w:val="0"/>
              <w:autoSpaceDN w:val="0"/>
              <w:adjustRightInd w:val="0"/>
              <w:rPr>
                <w:rFonts w:ascii="Calibri" w:hAnsi="Calibri" w:cs="Calibri"/>
              </w:rPr>
            </w:pPr>
            <w:r w:rsidRPr="00810151">
              <w:rPr>
                <w:rFonts w:ascii="Calibri" w:hAnsi="Calibri" w:cs="Calibri"/>
              </w:rPr>
              <w:lastRenderedPageBreak/>
              <w:t>Provedení zaškolení (instruktáže) obsluhy včetně vyhotovení zápisu.</w:t>
            </w:r>
          </w:p>
        </w:tc>
        <w:tc>
          <w:tcPr>
            <w:tcW w:w="2131" w:type="dxa"/>
            <w:vAlign w:val="center"/>
          </w:tcPr>
          <w:p w14:paraId="53A8DC14" w14:textId="77777777" w:rsidR="00810151" w:rsidRPr="00810151" w:rsidRDefault="00810151" w:rsidP="0081015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810151" w:rsidRPr="00810151" w14:paraId="706420FA" w14:textId="77777777" w:rsidTr="009860B0">
        <w:trPr>
          <w:jc w:val="center"/>
        </w:trPr>
        <w:tc>
          <w:tcPr>
            <w:tcW w:w="7508" w:type="dxa"/>
            <w:vAlign w:val="center"/>
          </w:tcPr>
          <w:p w14:paraId="48400C06" w14:textId="77777777" w:rsidR="00810151" w:rsidRPr="00810151" w:rsidRDefault="00810151" w:rsidP="00810151">
            <w:pPr>
              <w:overflowPunct/>
              <w:autoSpaceDE w:val="0"/>
              <w:autoSpaceDN w:val="0"/>
              <w:adjustRightInd w:val="0"/>
              <w:rPr>
                <w:rFonts w:ascii="Calibri" w:hAnsi="Calibri" w:cs="Calibri"/>
              </w:rPr>
            </w:pPr>
            <w:r w:rsidRPr="00810151">
              <w:rPr>
                <w:rFonts w:ascii="Calibri" w:hAnsi="Calibri" w:cs="Calibri"/>
              </w:rPr>
              <w:t>Dodání oprávnění školitele (od výrobce) k provádění instruktáže.</w:t>
            </w:r>
          </w:p>
        </w:tc>
        <w:tc>
          <w:tcPr>
            <w:tcW w:w="2131" w:type="dxa"/>
            <w:vAlign w:val="center"/>
          </w:tcPr>
          <w:p w14:paraId="5C1A19FF" w14:textId="77777777" w:rsidR="00810151" w:rsidRPr="00810151" w:rsidRDefault="00810151" w:rsidP="0081015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810151" w:rsidRPr="00810151" w14:paraId="1B1A3A90" w14:textId="77777777" w:rsidTr="009860B0">
        <w:trPr>
          <w:jc w:val="center"/>
        </w:trPr>
        <w:tc>
          <w:tcPr>
            <w:tcW w:w="7508" w:type="dxa"/>
            <w:vAlign w:val="center"/>
          </w:tcPr>
          <w:p w14:paraId="4C5212C0" w14:textId="77777777" w:rsidR="00810151" w:rsidRPr="00810151" w:rsidRDefault="00810151" w:rsidP="00810151">
            <w:pPr>
              <w:overflowPunct/>
              <w:autoSpaceDE w:val="0"/>
              <w:autoSpaceDN w:val="0"/>
              <w:adjustRightInd w:val="0"/>
              <w:rPr>
                <w:rFonts w:ascii="Calibri" w:hAnsi="Calibri" w:cs="Calibri"/>
              </w:rPr>
            </w:pPr>
            <w:r w:rsidRPr="00810151">
              <w:rPr>
                <w:rFonts w:ascii="Calibri" w:hAnsi="Calibri" w:cs="Calibri"/>
              </w:rPr>
              <w:t>Dodání dokumentace prokazující oprávnění k údržbě dodaného zdravotnického prostředku.</w:t>
            </w:r>
          </w:p>
        </w:tc>
        <w:tc>
          <w:tcPr>
            <w:tcW w:w="2131" w:type="dxa"/>
            <w:vAlign w:val="center"/>
          </w:tcPr>
          <w:p w14:paraId="03A63A61" w14:textId="77777777" w:rsidR="00810151" w:rsidRPr="00810151" w:rsidRDefault="00810151" w:rsidP="00810151">
            <w:pPr>
              <w:overflowPunct/>
              <w:jc w:val="center"/>
              <w:rPr>
                <w:rFonts w:ascii="Calibri" w:hAnsi="Calibri" w:cs="Calibri"/>
                <w:color w:val="FF0000"/>
                <w:szCs w:val="20"/>
              </w:rPr>
            </w:pPr>
            <w:r w:rsidRPr="00810151">
              <w:rPr>
                <w:rFonts w:ascii="Calibri" w:hAnsi="Calibri" w:cs="Calibri"/>
                <w:color w:val="FF0000"/>
                <w:szCs w:val="20"/>
              </w:rPr>
              <w:t>(doplní dodavatel)</w:t>
            </w:r>
          </w:p>
        </w:tc>
      </w:tr>
      <w:tr w:rsidR="00810151" w:rsidRPr="00810151" w14:paraId="68D476A1" w14:textId="77777777" w:rsidTr="009860B0">
        <w:trPr>
          <w:trHeight w:val="677"/>
          <w:jc w:val="center"/>
        </w:trPr>
        <w:tc>
          <w:tcPr>
            <w:tcW w:w="7508" w:type="dxa"/>
            <w:vAlign w:val="center"/>
          </w:tcPr>
          <w:p w14:paraId="584556F1" w14:textId="77777777" w:rsidR="00810151" w:rsidRPr="00810151" w:rsidRDefault="00810151" w:rsidP="00810151">
            <w:pPr>
              <w:overflowPunct/>
              <w:autoSpaceDE w:val="0"/>
              <w:autoSpaceDN w:val="0"/>
              <w:adjustRightInd w:val="0"/>
              <w:rPr>
                <w:rFonts w:ascii="Calibri" w:hAnsi="Calibri" w:cs="Calibri"/>
              </w:rPr>
            </w:pPr>
            <w:r w:rsidRPr="00810151">
              <w:rPr>
                <w:rFonts w:ascii="Calibri" w:hAnsi="Calibri" w:cs="Calibri"/>
              </w:rPr>
              <w:t>Splnění všech ostatních závazných podmínek předepsaných platnou legislativou.</w:t>
            </w:r>
          </w:p>
        </w:tc>
        <w:tc>
          <w:tcPr>
            <w:tcW w:w="2131" w:type="dxa"/>
            <w:vAlign w:val="center"/>
          </w:tcPr>
          <w:p w14:paraId="772530F7" w14:textId="77777777" w:rsidR="00810151" w:rsidRPr="00810151" w:rsidRDefault="00810151" w:rsidP="00810151">
            <w:pPr>
              <w:overflowPunct/>
              <w:jc w:val="center"/>
              <w:rPr>
                <w:rFonts w:ascii="Calibri" w:hAnsi="Calibri" w:cs="Calibri"/>
                <w:color w:val="FF0000"/>
                <w:szCs w:val="20"/>
              </w:rPr>
            </w:pPr>
            <w:r w:rsidRPr="00810151">
              <w:rPr>
                <w:rFonts w:ascii="Calibri" w:hAnsi="Calibri" w:cs="Calibri"/>
                <w:color w:val="FF0000"/>
                <w:szCs w:val="20"/>
              </w:rPr>
              <w:t>(doplní dodavatel)</w:t>
            </w:r>
          </w:p>
        </w:tc>
      </w:tr>
    </w:tbl>
    <w:p w14:paraId="03DB8859" w14:textId="77777777" w:rsidR="00810151" w:rsidRDefault="00810151">
      <w:pPr>
        <w:tabs>
          <w:tab w:val="left" w:pos="3081"/>
        </w:tabs>
      </w:pPr>
    </w:p>
    <w:sectPr w:rsidR="00810151">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8B0D1" w14:textId="77777777" w:rsidR="00985DA1" w:rsidRDefault="00FA6D3D">
      <w:r>
        <w:separator/>
      </w:r>
    </w:p>
  </w:endnote>
  <w:endnote w:type="continuationSeparator" w:id="0">
    <w:p w14:paraId="7A9A4C7D" w14:textId="77777777" w:rsidR="00985DA1" w:rsidRDefault="00FA6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Cambria"/>
    <w:charset w:val="EE"/>
    <w:family w:val="roman"/>
    <w:pitch w:val="variable"/>
  </w:font>
  <w:font w:name="OpenSymbol">
    <w:panose1 w:val="05010000000000000000"/>
    <w:charset w:val="00"/>
    <w:family w:val="auto"/>
    <w:pitch w:val="variable"/>
    <w:sig w:usb0="800000AF" w:usb1="1001ECEA"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bookmarkEnd w:id="0" w:displacedByCustomXml="next"/>
  <w:sdt>
    <w:sdtPr>
      <w:id w:val="1253641809"/>
      <w:docPartObj>
        <w:docPartGallery w:val="Page Numbers (Bottom of Page)"/>
        <w:docPartUnique/>
      </w:docPartObj>
    </w:sdtPr>
    <w:sdtEndPr/>
    <w:sdtContent>
      <w:p w14:paraId="25C56EBD" w14:textId="77777777" w:rsidR="00027191" w:rsidRDefault="00027191">
        <w:pPr>
          <w:pStyle w:val="Zpat"/>
          <w:tabs>
            <w:tab w:val="clear" w:pos="4536"/>
            <w:tab w:val="clear" w:pos="9072"/>
            <w:tab w:val="left" w:pos="7455"/>
          </w:tabs>
        </w:pPr>
      </w:p>
      <w:p w14:paraId="2236092D" w14:textId="77777777" w:rsidR="00027191" w:rsidRDefault="00FA6D3D" w:rsidP="00810151">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E0AC5E3" w14:textId="77777777" w:rsidR="00027191" w:rsidRDefault="00027191">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B3C5E" w14:textId="77777777" w:rsidR="00985DA1" w:rsidRDefault="00FA6D3D">
      <w:r>
        <w:separator/>
      </w:r>
    </w:p>
  </w:footnote>
  <w:footnote w:type="continuationSeparator" w:id="0">
    <w:p w14:paraId="327E2B28" w14:textId="77777777" w:rsidR="00985DA1" w:rsidRDefault="00FA6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6D07A" w14:textId="77777777" w:rsidR="00027191" w:rsidRDefault="00FA6D3D">
    <w:pPr>
      <w:pStyle w:val="Zhlav"/>
      <w:jc w:val="both"/>
    </w:pPr>
    <w:r>
      <w:rPr>
        <w:noProof/>
      </w:rPr>
      <w:drawing>
        <wp:anchor distT="0" distB="0" distL="0" distR="0" simplePos="0" relativeHeight="5" behindDoc="1" locked="0" layoutInCell="1" allowOverlap="1" wp14:anchorId="260B9E7B" wp14:editId="26CB8F2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D4D8A"/>
    <w:multiLevelType w:val="hybridMultilevel"/>
    <w:tmpl w:val="0AD60246"/>
    <w:lvl w:ilvl="0" w:tplc="61B02976">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A645A4"/>
    <w:multiLevelType w:val="hybridMultilevel"/>
    <w:tmpl w:val="2FFA1916"/>
    <w:lvl w:ilvl="0" w:tplc="F3A6ECE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131AA9"/>
    <w:multiLevelType w:val="multilevel"/>
    <w:tmpl w:val="195074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47A07B4"/>
    <w:multiLevelType w:val="multilevel"/>
    <w:tmpl w:val="6A5827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191"/>
    <w:rsid w:val="00027191"/>
    <w:rsid w:val="00450E95"/>
    <w:rsid w:val="00810151"/>
    <w:rsid w:val="0089080E"/>
    <w:rsid w:val="00985DA1"/>
    <w:rsid w:val="00FA6D3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431E7"/>
  <w15:docId w15:val="{C1FAF075-14D2-4A70-B472-8DB38D296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overflowPunct w:val="0"/>
    </w:pPr>
    <w:rPr>
      <w:rFonts w:ascii="Arial" w:eastAsia="Times New Roman" w:hAnsi="Arial" w:cs="Times New Roman"/>
      <w:kern w:val="0"/>
      <w:lang w:eastAsia="cs-CZ" w:bidi="ar-SA"/>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ascii="CIDFont+F2" w:hAnsi="CIDFont+F2"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ascii="CIDFont+F2" w:hAnsi="CIDFont+F2"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character" w:customStyle="1" w:styleId="ListLabel109">
    <w:name w:val="ListLabel 109"/>
    <w:qFormat/>
    <w:rPr>
      <w:rFonts w:ascii="CIDFont+F2" w:hAnsi="CIDFont+F2" w:cs="Symbol"/>
    </w:rPr>
  </w:style>
  <w:style w:type="character" w:customStyle="1" w:styleId="ListLabel110">
    <w:name w:val="ListLabel 110"/>
    <w:qFormat/>
    <w:rPr>
      <w:rFonts w:cs="Courier New"/>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ascii="CIDFont+F2" w:hAnsi="CIDFont+F2"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ascii="CIDFont+F2" w:hAnsi="CIDFont+F2"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Odrky">
    <w:name w:val="Odrážky"/>
    <w:qFormat/>
    <w:rPr>
      <w:rFonts w:ascii="OpenSymbol" w:eastAsia="OpenSymbol" w:hAnsi="OpenSymbol" w:cs="OpenSymbol"/>
    </w:rPr>
  </w:style>
  <w:style w:type="character" w:customStyle="1" w:styleId="ListLabel136">
    <w:name w:val="ListLabel 136"/>
    <w:qFormat/>
    <w:rPr>
      <w:rFonts w:ascii="CIDFont+F2" w:hAnsi="CIDFont+F2"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ascii="CIDFont+F2" w:hAnsi="CIDFont+F2"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ascii="CIDFont+F2" w:hAnsi="CIDFont+F2"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ascii="CIDFont+F2" w:hAnsi="CIDFont+F2"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ascii="CIDFont+F2" w:hAnsi="CIDFont+F2"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cs="Symbol"/>
    </w:rPr>
  </w:style>
  <w:style w:type="character" w:customStyle="1" w:styleId="ListLabel176">
    <w:name w:val="ListLabel 176"/>
    <w:qFormat/>
    <w:rPr>
      <w:rFonts w:cs="Courier New"/>
    </w:rPr>
  </w:style>
  <w:style w:type="character" w:customStyle="1" w:styleId="ListLabel177">
    <w:name w:val="ListLabel 177"/>
    <w:qFormat/>
    <w:rPr>
      <w:rFonts w:cs="Wingdings"/>
    </w:rPr>
  </w:style>
  <w:style w:type="character" w:customStyle="1" w:styleId="ListLabel178">
    <w:name w:val="ListLabel 178"/>
    <w:qFormat/>
    <w:rPr>
      <w:rFonts w:cs="Symbol"/>
    </w:rPr>
  </w:style>
  <w:style w:type="character" w:customStyle="1" w:styleId="ListLabel179">
    <w:name w:val="ListLabel 179"/>
    <w:qFormat/>
    <w:rPr>
      <w:rFonts w:cs="Courier New"/>
    </w:rPr>
  </w:style>
  <w:style w:type="character" w:customStyle="1" w:styleId="ListLabel180">
    <w:name w:val="ListLabel 180"/>
    <w:qFormat/>
    <w:rPr>
      <w:rFonts w:cs="Wingdings"/>
    </w:rPr>
  </w:style>
  <w:style w:type="character" w:customStyle="1" w:styleId="ListLabel181">
    <w:name w:val="ListLabel 181"/>
    <w:qFormat/>
    <w:rPr>
      <w:rFonts w:ascii="CIDFont+F2" w:hAnsi="CIDFont+F2" w:cs="Symbol"/>
    </w:rPr>
  </w:style>
  <w:style w:type="character" w:customStyle="1" w:styleId="ListLabel182">
    <w:name w:val="ListLabel 182"/>
    <w:qFormat/>
    <w:rPr>
      <w:rFonts w:cs="Courier New"/>
    </w:rPr>
  </w:style>
  <w:style w:type="character" w:customStyle="1" w:styleId="ListLabel183">
    <w:name w:val="ListLabel 183"/>
    <w:qFormat/>
    <w:rPr>
      <w:rFonts w:cs="Wingdings"/>
    </w:rPr>
  </w:style>
  <w:style w:type="character" w:customStyle="1" w:styleId="ListLabel184">
    <w:name w:val="ListLabel 184"/>
    <w:qFormat/>
    <w:rPr>
      <w:rFonts w:cs="Symbol"/>
    </w:rPr>
  </w:style>
  <w:style w:type="character" w:customStyle="1" w:styleId="ListLabel185">
    <w:name w:val="ListLabel 185"/>
    <w:qFormat/>
    <w:rPr>
      <w:rFonts w:cs="Courier New"/>
    </w:rPr>
  </w:style>
  <w:style w:type="character" w:customStyle="1" w:styleId="ListLabel186">
    <w:name w:val="ListLabel 186"/>
    <w:qFormat/>
    <w:rPr>
      <w:rFonts w:cs="Wingdings"/>
    </w:rPr>
  </w:style>
  <w:style w:type="character" w:customStyle="1" w:styleId="ListLabel187">
    <w:name w:val="ListLabel 187"/>
    <w:qFormat/>
    <w:rPr>
      <w:rFonts w:cs="Symbol"/>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ascii="CIDFont+F2" w:hAnsi="CIDFont+F2"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IDFont+F2" w:hAnsi="CIDFont+F2"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pPr>
      <w:overflowPunct w:val="0"/>
    </w:pPr>
    <w:rPr>
      <w:rFonts w:ascii="Arial" w:eastAsia="Times New Roman" w:hAnsi="Arial"/>
      <w:color w:val="000000"/>
      <w:kern w:val="0"/>
      <w:sz w:val="24"/>
      <w:lang w:eastAsia="cs-CZ" w:bidi="ar-SA"/>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810151"/>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95609-7429-486F-8210-40831BAA3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1372</Words>
  <Characters>8096</Characters>
  <Application>Microsoft Office Word</Application>
  <DocSecurity>0</DocSecurity>
  <Lines>67</Lines>
  <Paragraphs>18</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cp:revision>
  <dcterms:created xsi:type="dcterms:W3CDTF">2021-06-24T10:10:00Z</dcterms:created>
  <dcterms:modified xsi:type="dcterms:W3CDTF">2021-07-11T12:45:00Z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