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B" w:rsidRPr="00370A5B" w:rsidRDefault="00E51CA0" w:rsidP="00E51C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6"/>
          <w:szCs w:val="32"/>
        </w:rPr>
      </w:pPr>
      <w:r w:rsidRPr="00370A5B">
        <w:rPr>
          <w:rFonts w:cs="Calibri,Bold"/>
          <w:b/>
          <w:bCs/>
          <w:sz w:val="36"/>
          <w:szCs w:val="32"/>
        </w:rPr>
        <w:t xml:space="preserve">Odůvodnění účelnosti veřejné zakázky </w:t>
      </w:r>
    </w:p>
    <w:p w:rsidR="00E51CA0" w:rsidRPr="00370A5B" w:rsidRDefault="00E51CA0" w:rsidP="00E51C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i/>
          <w:sz w:val="26"/>
          <w:szCs w:val="26"/>
        </w:rPr>
      </w:pPr>
      <w:r w:rsidRPr="00370A5B">
        <w:rPr>
          <w:rFonts w:cs="Calibri,Bold"/>
          <w:bCs/>
          <w:i/>
          <w:sz w:val="26"/>
          <w:szCs w:val="26"/>
        </w:rPr>
        <w:t>vypracované v souladu s vyhláškou 232/2012 Sb.</w:t>
      </w:r>
    </w:p>
    <w:p w:rsidR="00E51CA0" w:rsidRPr="00370A5B" w:rsidRDefault="00E51CA0" w:rsidP="00E51C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32"/>
        </w:rPr>
      </w:pPr>
    </w:p>
    <w:p w:rsidR="00E51CA0" w:rsidRPr="00370A5B" w:rsidRDefault="00E51CA0" w:rsidP="00E51C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A5B">
        <w:rPr>
          <w:rFonts w:cs="Calibri,Bold"/>
          <w:b/>
          <w:bCs/>
          <w:sz w:val="20"/>
          <w:szCs w:val="20"/>
        </w:rPr>
        <w:t xml:space="preserve">Zadavatel: </w:t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"/>
          <w:sz w:val="20"/>
          <w:szCs w:val="20"/>
        </w:rPr>
        <w:t>Pardubický kraj</w:t>
      </w:r>
    </w:p>
    <w:p w:rsidR="00E51CA0" w:rsidRPr="00370A5B" w:rsidRDefault="00E51CA0" w:rsidP="00E51CA0">
      <w:pPr>
        <w:autoSpaceDE w:val="0"/>
        <w:autoSpaceDN w:val="0"/>
        <w:adjustRightInd w:val="0"/>
        <w:spacing w:after="0" w:line="240" w:lineRule="auto"/>
        <w:ind w:left="4253" w:hanging="4253"/>
        <w:rPr>
          <w:rFonts w:cs="Calibri"/>
          <w:sz w:val="20"/>
          <w:szCs w:val="20"/>
        </w:rPr>
      </w:pPr>
      <w:r w:rsidRPr="00370A5B">
        <w:rPr>
          <w:rFonts w:cs="Calibri,Bold"/>
          <w:b/>
          <w:bCs/>
          <w:sz w:val="20"/>
          <w:szCs w:val="20"/>
        </w:rPr>
        <w:t xml:space="preserve">Veřejná zakázka: </w:t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"/>
          <w:sz w:val="20"/>
          <w:szCs w:val="20"/>
        </w:rPr>
        <w:t>Zajištění hlasových a datových telekomunikačních služeb Pardubického kraje</w:t>
      </w:r>
    </w:p>
    <w:p w:rsidR="00E51CA0" w:rsidRPr="00370A5B" w:rsidRDefault="00E51CA0" w:rsidP="00E51C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A5B">
        <w:rPr>
          <w:rFonts w:cs="Calibri,Bold"/>
          <w:b/>
          <w:bCs/>
          <w:sz w:val="20"/>
          <w:szCs w:val="20"/>
        </w:rPr>
        <w:t xml:space="preserve">Předmět veřejné zakázky: </w:t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,Bold"/>
          <w:b/>
          <w:bCs/>
          <w:sz w:val="20"/>
          <w:szCs w:val="20"/>
        </w:rPr>
        <w:tab/>
      </w:r>
      <w:r w:rsid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"/>
          <w:sz w:val="20"/>
          <w:szCs w:val="20"/>
        </w:rPr>
        <w:t>služby</w:t>
      </w:r>
    </w:p>
    <w:p w:rsidR="00E51CA0" w:rsidRPr="00370A5B" w:rsidRDefault="00E51CA0" w:rsidP="00E51CA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0A5B">
        <w:rPr>
          <w:rFonts w:cs="Calibri,Bold"/>
          <w:b/>
          <w:bCs/>
          <w:sz w:val="20"/>
          <w:szCs w:val="20"/>
        </w:rPr>
        <w:t>Druh zadávacího řízení:</w:t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,Bold"/>
          <w:b/>
          <w:bCs/>
          <w:sz w:val="20"/>
          <w:szCs w:val="20"/>
        </w:rPr>
        <w:tab/>
      </w:r>
      <w:r w:rsidR="00370A5B">
        <w:rPr>
          <w:rFonts w:cs="Calibri,Bold"/>
          <w:b/>
          <w:bCs/>
          <w:sz w:val="20"/>
          <w:szCs w:val="20"/>
        </w:rPr>
        <w:tab/>
      </w:r>
      <w:r w:rsidRPr="00370A5B">
        <w:rPr>
          <w:rFonts w:cs="Calibri"/>
          <w:sz w:val="20"/>
          <w:szCs w:val="20"/>
        </w:rPr>
        <w:t>otevřené</w:t>
      </w:r>
    </w:p>
    <w:p w:rsidR="00E51CA0" w:rsidRPr="00370A5B" w:rsidRDefault="00E51CA0" w:rsidP="00E51CA0">
      <w:pPr>
        <w:pStyle w:val="Default"/>
        <w:rPr>
          <w:rFonts w:asciiTheme="minorHAnsi" w:hAnsiTheme="minorHAnsi" w:cs="Calibri"/>
          <w:sz w:val="20"/>
          <w:szCs w:val="20"/>
        </w:rPr>
      </w:pPr>
      <w:r w:rsidRPr="00370A5B">
        <w:rPr>
          <w:rFonts w:asciiTheme="minorHAnsi" w:hAnsiTheme="minorHAnsi" w:cs="Calibri,Bold"/>
          <w:b/>
          <w:bCs/>
          <w:sz w:val="20"/>
          <w:szCs w:val="20"/>
        </w:rPr>
        <w:t xml:space="preserve">Předpokládaná hodnota VZ: </w:t>
      </w:r>
      <w:r w:rsidRPr="00370A5B">
        <w:rPr>
          <w:rFonts w:asciiTheme="minorHAnsi" w:hAnsiTheme="minorHAnsi" w:cs="Calibri,Bold"/>
          <w:b/>
          <w:bCs/>
          <w:sz w:val="20"/>
          <w:szCs w:val="20"/>
        </w:rPr>
        <w:tab/>
      </w:r>
      <w:r w:rsidRPr="00370A5B">
        <w:rPr>
          <w:rFonts w:asciiTheme="minorHAnsi" w:hAnsiTheme="minorHAnsi" w:cs="Calibri,Bold"/>
          <w:b/>
          <w:bCs/>
          <w:sz w:val="20"/>
          <w:szCs w:val="20"/>
        </w:rPr>
        <w:tab/>
      </w:r>
      <w:r w:rsidR="00370A5B">
        <w:rPr>
          <w:rFonts w:asciiTheme="minorHAnsi" w:hAnsiTheme="minorHAnsi" w:cs="Calibri,Bold"/>
          <w:b/>
          <w:bCs/>
          <w:sz w:val="20"/>
          <w:szCs w:val="20"/>
        </w:rPr>
        <w:tab/>
      </w:r>
      <w:r w:rsidRPr="00370A5B">
        <w:rPr>
          <w:rFonts w:asciiTheme="minorHAnsi" w:hAnsiTheme="minorHAnsi" w:cs="Calibri"/>
          <w:sz w:val="20"/>
          <w:szCs w:val="20"/>
        </w:rPr>
        <w:t>část A: 18 000 000 Kč (bez DPH)</w:t>
      </w:r>
    </w:p>
    <w:p w:rsidR="00E51CA0" w:rsidRPr="00370A5B" w:rsidRDefault="00E51CA0" w:rsidP="00E51CA0">
      <w:pPr>
        <w:pStyle w:val="Default"/>
        <w:rPr>
          <w:rFonts w:asciiTheme="minorHAnsi" w:hAnsiTheme="minorHAnsi" w:cs="Calibri"/>
          <w:sz w:val="20"/>
          <w:szCs w:val="20"/>
        </w:rPr>
      </w:pPr>
      <w:r w:rsidRPr="00370A5B">
        <w:rPr>
          <w:rFonts w:asciiTheme="minorHAnsi" w:hAnsiTheme="minorHAnsi" w:cs="Calibri"/>
          <w:sz w:val="20"/>
          <w:szCs w:val="20"/>
        </w:rPr>
        <w:tab/>
      </w:r>
      <w:r w:rsidRPr="00370A5B">
        <w:rPr>
          <w:rFonts w:asciiTheme="minorHAnsi" w:hAnsiTheme="minorHAnsi" w:cs="Calibri"/>
          <w:sz w:val="20"/>
          <w:szCs w:val="20"/>
        </w:rPr>
        <w:tab/>
      </w:r>
      <w:r w:rsidRPr="00370A5B">
        <w:rPr>
          <w:rFonts w:asciiTheme="minorHAnsi" w:hAnsiTheme="minorHAnsi" w:cs="Calibri"/>
          <w:sz w:val="20"/>
          <w:szCs w:val="20"/>
        </w:rPr>
        <w:tab/>
      </w:r>
      <w:r w:rsidRPr="00370A5B">
        <w:rPr>
          <w:rFonts w:asciiTheme="minorHAnsi" w:hAnsiTheme="minorHAnsi" w:cs="Calibri"/>
          <w:sz w:val="20"/>
          <w:szCs w:val="20"/>
        </w:rPr>
        <w:tab/>
      </w:r>
      <w:r w:rsidRPr="00370A5B">
        <w:rPr>
          <w:rFonts w:asciiTheme="minorHAnsi" w:hAnsiTheme="minorHAnsi" w:cs="Calibri"/>
          <w:sz w:val="20"/>
          <w:szCs w:val="20"/>
        </w:rPr>
        <w:tab/>
      </w:r>
      <w:r w:rsidRPr="00370A5B">
        <w:rPr>
          <w:rFonts w:asciiTheme="minorHAnsi" w:hAnsiTheme="minorHAnsi" w:cs="Calibri"/>
          <w:sz w:val="20"/>
          <w:szCs w:val="20"/>
        </w:rPr>
        <w:tab/>
        <w:t>část B: 30 000 000 Kč (bez DPH)</w:t>
      </w:r>
    </w:p>
    <w:p w:rsidR="00E51CA0" w:rsidRPr="00370A5B" w:rsidRDefault="00E51CA0" w:rsidP="00E51CA0">
      <w:pPr>
        <w:pStyle w:val="Default"/>
        <w:rPr>
          <w:rFonts w:asciiTheme="minorHAnsi" w:hAnsiTheme="minorHAnsi"/>
          <w:sz w:val="20"/>
          <w:szCs w:val="20"/>
        </w:rPr>
      </w:pPr>
    </w:p>
    <w:p w:rsidR="00E51CA0" w:rsidRPr="00370A5B" w:rsidRDefault="00E51CA0" w:rsidP="00C96909">
      <w:pPr>
        <w:pStyle w:val="Default"/>
        <w:rPr>
          <w:rFonts w:asciiTheme="minorHAnsi" w:hAnsiTheme="minorHAnsi"/>
        </w:rPr>
      </w:pPr>
    </w:p>
    <w:p w:rsidR="00E51CA0" w:rsidRPr="00370A5B" w:rsidRDefault="00E51CA0" w:rsidP="00C96909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496"/>
      </w:tblGrid>
      <w:tr w:rsidR="00C96909" w:rsidRPr="00370A5B" w:rsidTr="00C96909">
        <w:trPr>
          <w:trHeight w:val="96"/>
        </w:trPr>
        <w:tc>
          <w:tcPr>
            <w:tcW w:w="8992" w:type="dxa"/>
            <w:gridSpan w:val="2"/>
          </w:tcPr>
          <w:p w:rsidR="00C96909" w:rsidRPr="00370A5B" w:rsidRDefault="00C96909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</w:rPr>
              <w:t xml:space="preserve"> </w:t>
            </w: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Odůvodnění účelnosti veřejné zakázky podle § 2 </w:t>
            </w:r>
          </w:p>
        </w:tc>
      </w:tr>
      <w:tr w:rsidR="00C96909" w:rsidRPr="00370A5B" w:rsidTr="00C96909">
        <w:trPr>
          <w:trHeight w:val="582"/>
        </w:trPr>
        <w:tc>
          <w:tcPr>
            <w:tcW w:w="4496" w:type="dxa"/>
          </w:tcPr>
          <w:p w:rsidR="00C233F5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Veřejný zadavatel popíše změny</w:t>
            </w:r>
          </w:p>
          <w:p w:rsidR="00C233F5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a) v popisu potřeb, které mají být splněním veřejné zakázky naplněny,</w:t>
            </w:r>
          </w:p>
          <w:p w:rsidR="00C233F5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b) v popisu předmětu veřejné zakázky,</w:t>
            </w:r>
          </w:p>
          <w:p w:rsidR="00C233F5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c) vzájemného vztahu předmětu veřejné zakázky a potřeb zadavatele,</w:t>
            </w:r>
          </w:p>
          <w:p w:rsidR="00C96909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d) v předpokládaném termínu splnění veřejné zakázky, oproti skutečnostem uvedeným podle §1. </w:t>
            </w:r>
          </w:p>
        </w:tc>
        <w:tc>
          <w:tcPr>
            <w:tcW w:w="4496" w:type="dxa"/>
          </w:tcPr>
          <w:p w:rsidR="00E51CA0" w:rsidRPr="00370A5B" w:rsidRDefault="00E51CA0" w:rsidP="00E51CA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V informacích uvedených v odůvodnění účelnosti uvedeném v předběžném oznámení dle § 86</w:t>
            </w:r>
          </w:p>
          <w:p w:rsidR="00E51CA0" w:rsidRPr="00370A5B" w:rsidRDefault="00E51CA0" w:rsidP="00E51CA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 xml:space="preserve">z. </w:t>
            </w:r>
            <w:proofErr w:type="gramStart"/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č.</w:t>
            </w:r>
            <w:proofErr w:type="gramEnd"/>
            <w:r w:rsidRPr="00370A5B">
              <w:rPr>
                <w:rFonts w:asciiTheme="minorHAnsi" w:hAnsiTheme="minorHAnsi"/>
                <w:b/>
                <w:sz w:val="20"/>
                <w:szCs w:val="20"/>
              </w:rPr>
              <w:t xml:space="preserve"> 137/2006 Sb., o veřejných zakázkách, ve znění pozdějších předpisů (dále jen „zákon“) </w:t>
            </w: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>došlo</w:t>
            </w:r>
          </w:p>
          <w:p w:rsidR="00C96909" w:rsidRPr="00370A5B" w:rsidRDefault="00E51CA0" w:rsidP="00E51CA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>ke změně</w:t>
            </w:r>
            <w:r w:rsidR="003770F8"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pouze v předpokládaném termínu splnění veřejné zakázky. </w:t>
            </w:r>
          </w:p>
          <w:p w:rsidR="003770F8" w:rsidRPr="00370A5B" w:rsidRDefault="003770F8" w:rsidP="00E51CA0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770F8" w:rsidRPr="00370A5B" w:rsidRDefault="003770F8" w:rsidP="00377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>Předpokládaný termín zahájení plnění je stanoven na 01. 09. 2013.</w:t>
            </w:r>
          </w:p>
        </w:tc>
      </w:tr>
      <w:tr w:rsidR="00C96909" w:rsidRPr="00370A5B" w:rsidTr="00C96909">
        <w:trPr>
          <w:trHeight w:val="826"/>
        </w:trPr>
        <w:tc>
          <w:tcPr>
            <w:tcW w:w="4496" w:type="dxa"/>
          </w:tcPr>
          <w:p w:rsidR="00431BFE" w:rsidRPr="00370A5B" w:rsidRDefault="00C96909" w:rsidP="00BE2AC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Popis rizik souvisejících s plněním veřejné zakázky, která zadavatel zohlednil při stanovení zadávacích podmínek. Jde zejména o rizika </w:t>
            </w:r>
            <w:proofErr w:type="spellStart"/>
            <w:r w:rsidR="00BE2AC4">
              <w:rPr>
                <w:rFonts w:asciiTheme="minorHAnsi" w:hAnsiTheme="minorHAnsi"/>
                <w:sz w:val="20"/>
                <w:szCs w:val="20"/>
              </w:rPr>
              <w:t>n</w:t>
            </w:r>
            <w:r w:rsidRPr="00370A5B">
              <w:rPr>
                <w:rFonts w:asciiTheme="minorHAnsi" w:hAnsiTheme="minorHAnsi"/>
                <w:sz w:val="20"/>
                <w:szCs w:val="20"/>
              </w:rPr>
              <w:t>erealizace</w:t>
            </w:r>
            <w:proofErr w:type="spellEnd"/>
            <w:r w:rsidRPr="00370A5B">
              <w:rPr>
                <w:rFonts w:asciiTheme="minorHAnsi" w:hAnsiTheme="minorHAnsi"/>
                <w:sz w:val="20"/>
                <w:szCs w:val="20"/>
              </w:rPr>
              <w:t xml:space="preserve"> veřejné zakázky, prodlení s plněním veřejné zakázky, snížení kvality plnění, vynaložení dalších finančních nákladů</w:t>
            </w:r>
            <w:r w:rsidR="008C7919" w:rsidRPr="00370A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496" w:type="dxa"/>
          </w:tcPr>
          <w:p w:rsidR="00C96909" w:rsidRPr="00370A5B" w:rsidRDefault="00431BFE" w:rsidP="00431BF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Zadavatel zakázky zohlednil v</w:t>
            </w:r>
            <w:r w:rsidR="00C96909" w:rsidRPr="00370A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 xml:space="preserve">obchodních podmínkách </w:t>
            </w:r>
            <w:r w:rsidR="00C96909" w:rsidRPr="00370A5B">
              <w:rPr>
                <w:rFonts w:asciiTheme="minorHAnsi" w:hAnsiTheme="minorHAnsi"/>
                <w:b/>
                <w:sz w:val="20"/>
                <w:szCs w:val="20"/>
              </w:rPr>
              <w:t xml:space="preserve">veškerá jemu známá rizika, prodlení s plněním veřejné zakázky a snížení kvality plnění, takže by nemělo dojít k vynaložení dalších finančních nákladů. </w:t>
            </w:r>
          </w:p>
        </w:tc>
      </w:tr>
      <w:tr w:rsidR="00C233F5" w:rsidRPr="00370A5B" w:rsidTr="00C96909">
        <w:trPr>
          <w:trHeight w:val="826"/>
        </w:trPr>
        <w:tc>
          <w:tcPr>
            <w:tcW w:w="4496" w:type="dxa"/>
          </w:tcPr>
          <w:p w:rsidR="00C233F5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496" w:type="dxa"/>
          </w:tcPr>
          <w:p w:rsidR="00C233F5" w:rsidRPr="00370A5B" w:rsidRDefault="00C233F5" w:rsidP="00AB1C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</w:t>
            </w:r>
            <w:r w:rsidR="00AB1CF6">
              <w:rPr>
                <w:rFonts w:asciiTheme="minorHAnsi" w:hAnsiTheme="minorHAnsi"/>
                <w:b/>
                <w:sz w:val="20"/>
                <w:szCs w:val="20"/>
              </w:rPr>
              <w:t>jsou požadovány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C233F5" w:rsidRPr="00370A5B" w:rsidTr="00C96909">
        <w:trPr>
          <w:trHeight w:val="826"/>
        </w:trPr>
        <w:tc>
          <w:tcPr>
            <w:tcW w:w="4496" w:type="dxa"/>
          </w:tcPr>
          <w:p w:rsidR="00C233F5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Veřejný zadavatel může vymezit, do jaké míry ovlivní veřejná zakázky plnění plánovaného cíle.</w:t>
            </w:r>
          </w:p>
        </w:tc>
        <w:tc>
          <w:tcPr>
            <w:tcW w:w="4496" w:type="dxa"/>
          </w:tcPr>
          <w:p w:rsidR="00C233F5" w:rsidRPr="00370A5B" w:rsidRDefault="00C233F5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Veřejná zakázka je nezbytná pro naplnění plánovaného cíle.</w:t>
            </w:r>
          </w:p>
        </w:tc>
      </w:tr>
      <w:tr w:rsidR="00C233F5" w:rsidRPr="00370A5B" w:rsidTr="00C96909">
        <w:trPr>
          <w:trHeight w:val="826"/>
        </w:trPr>
        <w:tc>
          <w:tcPr>
            <w:tcW w:w="4496" w:type="dxa"/>
          </w:tcPr>
          <w:p w:rsidR="00C233F5" w:rsidRPr="00370A5B" w:rsidRDefault="00C233F5" w:rsidP="00290B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Zadavatel může uvést další informace odůvodňující</w:t>
            </w:r>
            <w:r w:rsidR="00290B68" w:rsidRPr="00370A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70A5B">
              <w:rPr>
                <w:rFonts w:asciiTheme="minorHAnsi" w:hAnsiTheme="minorHAnsi"/>
                <w:sz w:val="20"/>
                <w:szCs w:val="20"/>
              </w:rPr>
              <w:t>účelnost veřejné zakázky.</w:t>
            </w:r>
          </w:p>
        </w:tc>
        <w:tc>
          <w:tcPr>
            <w:tcW w:w="4496" w:type="dxa"/>
          </w:tcPr>
          <w:p w:rsidR="00C233F5" w:rsidRPr="00370A5B" w:rsidRDefault="00AB1CF6" w:rsidP="00AB1C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Neuvádí.</w:t>
            </w:r>
          </w:p>
        </w:tc>
      </w:tr>
    </w:tbl>
    <w:p w:rsidR="00C96909" w:rsidRPr="00370A5B" w:rsidRDefault="00C96909"/>
    <w:p w:rsidR="00C96909" w:rsidRPr="00370A5B" w:rsidRDefault="00C96909">
      <w:r w:rsidRPr="00370A5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4456"/>
      </w:tblGrid>
      <w:tr w:rsidR="00C96909" w:rsidRPr="00370A5B" w:rsidTr="00C96909">
        <w:trPr>
          <w:trHeight w:val="218"/>
        </w:trPr>
        <w:tc>
          <w:tcPr>
            <w:tcW w:w="8912" w:type="dxa"/>
            <w:gridSpan w:val="2"/>
          </w:tcPr>
          <w:p w:rsidR="00C96909" w:rsidRPr="00370A5B" w:rsidRDefault="00C96909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Odůvodnění požadavků na technické kvalifikační předpoklady pro plnění veřejné zakázky na služby podle § 3 odst. 2 </w:t>
            </w:r>
          </w:p>
        </w:tc>
      </w:tr>
      <w:tr w:rsidR="00C96909" w:rsidRPr="00370A5B" w:rsidTr="00290B68">
        <w:trPr>
          <w:trHeight w:val="1765"/>
        </w:trPr>
        <w:tc>
          <w:tcPr>
            <w:tcW w:w="445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přiměřenosti požadavků na seznam významných služeb. (Zadavatel povinně vyplní, pokud požadovaná finanční hodnota všech významných služeb činí v souhrnu minimálně trojnásobek předpokládané hodnoty veřejné zakázky.) </w:t>
            </w:r>
          </w:p>
        </w:tc>
        <w:tc>
          <w:tcPr>
            <w:tcW w:w="4456" w:type="dxa"/>
          </w:tcPr>
          <w:p w:rsidR="00C96909" w:rsidRPr="00370A5B" w:rsidRDefault="00E51CA0" w:rsidP="00E51C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Nebude požadováno nad rámec stanovený vyhláškou.</w:t>
            </w:r>
          </w:p>
        </w:tc>
      </w:tr>
      <w:tr w:rsidR="00C96909" w:rsidRPr="00370A5B" w:rsidTr="00C96909">
        <w:trPr>
          <w:trHeight w:val="704"/>
        </w:trPr>
        <w:tc>
          <w:tcPr>
            <w:tcW w:w="445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přiměřenosti požadavku na předložení seznamu techniků či technických útvarů. (Zadavatel povinně vyplní, pokud požaduje předložení seznamu více než tří techniků nebo technických útvarů.) </w:t>
            </w:r>
          </w:p>
        </w:tc>
        <w:tc>
          <w:tcPr>
            <w:tcW w:w="4456" w:type="dxa"/>
          </w:tcPr>
          <w:p w:rsidR="00C96909" w:rsidRPr="00370A5B" w:rsidRDefault="00AA256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C96909" w:rsidRPr="00370A5B" w:rsidTr="00C96909">
        <w:trPr>
          <w:trHeight w:val="705"/>
        </w:trPr>
        <w:tc>
          <w:tcPr>
            <w:tcW w:w="445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přiměřenosti požadavku na předložení popisu technického vybavení a opatření používaných dodavatelem k zajištění jakosti a popis zařízení či vybavení dodavatele určeného k provádění výzkumu. </w:t>
            </w:r>
          </w:p>
        </w:tc>
        <w:tc>
          <w:tcPr>
            <w:tcW w:w="4456" w:type="dxa"/>
          </w:tcPr>
          <w:p w:rsidR="00C96909" w:rsidRPr="00370A5B" w:rsidRDefault="00D2540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C96909" w:rsidRPr="00370A5B" w:rsidTr="00C96909">
        <w:trPr>
          <w:trHeight w:val="705"/>
        </w:trPr>
        <w:tc>
          <w:tcPr>
            <w:tcW w:w="445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přiměřenosti požadavku na provedení kontroly technické kapacity veřejným zadavatelem nebo jinou osobou jeho jménem, případně provedení kontroly opatření týkajících se zabezpečení jakosti a výzkumu. </w:t>
            </w:r>
          </w:p>
        </w:tc>
        <w:tc>
          <w:tcPr>
            <w:tcW w:w="4456" w:type="dxa"/>
          </w:tcPr>
          <w:p w:rsidR="00C96909" w:rsidRPr="00370A5B" w:rsidRDefault="00D254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C96909" w:rsidRPr="00370A5B" w:rsidTr="00C96909">
        <w:trPr>
          <w:trHeight w:val="1312"/>
        </w:trPr>
        <w:tc>
          <w:tcPr>
            <w:tcW w:w="445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 obdobném postavení a osob odpovědných za poskytování příslušných služeb. </w:t>
            </w:r>
          </w:p>
        </w:tc>
        <w:tc>
          <w:tcPr>
            <w:tcW w:w="4456" w:type="dxa"/>
          </w:tcPr>
          <w:p w:rsidR="00C96909" w:rsidRPr="00370A5B" w:rsidRDefault="00D254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C96909" w:rsidRPr="00370A5B" w:rsidTr="00C96909">
        <w:trPr>
          <w:trHeight w:val="826"/>
        </w:trPr>
        <w:tc>
          <w:tcPr>
            <w:tcW w:w="445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 </w:t>
            </w:r>
          </w:p>
        </w:tc>
        <w:tc>
          <w:tcPr>
            <w:tcW w:w="4456" w:type="dxa"/>
          </w:tcPr>
          <w:p w:rsidR="00C96909" w:rsidRPr="00370A5B" w:rsidRDefault="00D254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C96909" w:rsidRPr="00370A5B" w:rsidTr="00C96909">
        <w:trPr>
          <w:trHeight w:val="582"/>
        </w:trPr>
        <w:tc>
          <w:tcPr>
            <w:tcW w:w="445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přiměřenosti požadavku na předložení přehledu nástrojů či pomůcek, provozních a technických zařízení, které bude mít dodavatel při plnění veřejné zakázky k dispozici. </w:t>
            </w:r>
          </w:p>
        </w:tc>
        <w:tc>
          <w:tcPr>
            <w:tcW w:w="4456" w:type="dxa"/>
          </w:tcPr>
          <w:p w:rsidR="00C96909" w:rsidRPr="00370A5B" w:rsidRDefault="00D2540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:rsidR="00D82A56" w:rsidRPr="00370A5B" w:rsidRDefault="00D82A56"/>
    <w:p w:rsidR="00C96909" w:rsidRPr="00370A5B" w:rsidRDefault="00C96909">
      <w:r w:rsidRPr="00370A5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7"/>
      </w:tblGrid>
      <w:tr w:rsidR="00C96909" w:rsidRPr="00370A5B" w:rsidTr="00C96909">
        <w:trPr>
          <w:trHeight w:val="218"/>
        </w:trPr>
        <w:tc>
          <w:tcPr>
            <w:tcW w:w="9053" w:type="dxa"/>
            <w:gridSpan w:val="2"/>
          </w:tcPr>
          <w:p w:rsidR="00C96909" w:rsidRPr="00370A5B" w:rsidRDefault="00CE6BFC" w:rsidP="00C233F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Odůvodnění </w:t>
            </w:r>
            <w:r w:rsidR="00C96909"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vymezení obchodních podmínek </w:t>
            </w:r>
            <w:r w:rsidR="0072016D"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 plnění veřejné zakázky </w:t>
            </w:r>
            <w:r w:rsidR="00C233F5"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 dodávky a veřejné zakázky na služby </w:t>
            </w:r>
            <w:r w:rsidR="00C96909"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podle § 4 </w:t>
            </w:r>
          </w:p>
        </w:tc>
      </w:tr>
      <w:tr w:rsidR="00C96909" w:rsidRPr="00370A5B" w:rsidTr="00C96909">
        <w:trPr>
          <w:trHeight w:val="461"/>
        </w:trPr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vymezení obchodní podmínky stanovící delší lhůtu splatnosti faktur než 30 dnů. </w:t>
            </w:r>
          </w:p>
        </w:tc>
        <w:tc>
          <w:tcPr>
            <w:tcW w:w="4526" w:type="dxa"/>
          </w:tcPr>
          <w:p w:rsidR="00C96909" w:rsidRPr="00370A5B" w:rsidRDefault="00E51CA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požadováno.</w:t>
            </w:r>
          </w:p>
        </w:tc>
      </w:tr>
      <w:tr w:rsidR="00C96909" w:rsidRPr="00370A5B" w:rsidTr="00C96909">
        <w:trPr>
          <w:trHeight w:val="1069"/>
        </w:trPr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vymezení obchodní podmínky stanovící požadavek na pojištění odpovědnosti za škodu způsobenou dodavatelem třetím osobám ve výši přesahující dvojnásobek předpokládané hodnoty veřejné zakázky. </w:t>
            </w:r>
          </w:p>
        </w:tc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C96909" w:rsidRPr="00370A5B" w:rsidTr="00C96909">
        <w:trPr>
          <w:trHeight w:val="582"/>
        </w:trPr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vymezení obchodní podmínky stanovící požadavek bankovní záruky vyšší než je 5% ceny veřejné zakázky. </w:t>
            </w:r>
          </w:p>
        </w:tc>
        <w:tc>
          <w:tcPr>
            <w:tcW w:w="4526" w:type="dxa"/>
          </w:tcPr>
          <w:p w:rsidR="00C96909" w:rsidRPr="00370A5B" w:rsidRDefault="00E51CA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požadováno.</w:t>
            </w:r>
          </w:p>
        </w:tc>
      </w:tr>
      <w:tr w:rsidR="00C96909" w:rsidRPr="00370A5B" w:rsidTr="00C96909">
        <w:trPr>
          <w:trHeight w:val="461"/>
        </w:trPr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vymezení obchodní podmínky stanovící požadavek záruční lhůtu delší než 24 měsíců. </w:t>
            </w:r>
          </w:p>
        </w:tc>
        <w:tc>
          <w:tcPr>
            <w:tcW w:w="4526" w:type="dxa"/>
          </w:tcPr>
          <w:p w:rsidR="00C96909" w:rsidRPr="00370A5B" w:rsidRDefault="00E51CA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požadováno.</w:t>
            </w:r>
          </w:p>
        </w:tc>
      </w:tr>
      <w:tr w:rsidR="00C96909" w:rsidRPr="00370A5B" w:rsidTr="00C96909">
        <w:trPr>
          <w:trHeight w:val="826"/>
        </w:trPr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vymezení obchodní podmínky stanovící smluvní pokutu za prodlení dodavatele vyšší než 0,2 % z předpokládané hodnoty veřejné zakázky za každý den prodlení. </w:t>
            </w:r>
          </w:p>
        </w:tc>
        <w:tc>
          <w:tcPr>
            <w:tcW w:w="4526" w:type="dxa"/>
          </w:tcPr>
          <w:p w:rsidR="00C96909" w:rsidRPr="00370A5B" w:rsidRDefault="00E51CA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požadováno.</w:t>
            </w:r>
          </w:p>
        </w:tc>
      </w:tr>
      <w:tr w:rsidR="00C96909" w:rsidRPr="00370A5B" w:rsidTr="00C96909">
        <w:trPr>
          <w:trHeight w:val="704"/>
        </w:trPr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vymezení obchodní podmínky stanovící smluvní pokutu za prodlení zadavatele s úhradou faktur vyšší než 0,05% z dlužné částky za každý den prodlení. </w:t>
            </w:r>
          </w:p>
        </w:tc>
        <w:tc>
          <w:tcPr>
            <w:tcW w:w="4526" w:type="dxa"/>
          </w:tcPr>
          <w:p w:rsidR="00C96909" w:rsidRPr="00370A5B" w:rsidRDefault="00E51CA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 požadováno.</w:t>
            </w:r>
          </w:p>
        </w:tc>
      </w:tr>
      <w:tr w:rsidR="00C96909" w:rsidRPr="00370A5B" w:rsidTr="00C96909">
        <w:trPr>
          <w:trHeight w:val="1070"/>
        </w:trPr>
        <w:tc>
          <w:tcPr>
            <w:tcW w:w="452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 xml:space="preserve">Odůvodnění vymezení dalších obchodních podmínek dle § 5 odst. 2. Veřejný zadavatel odůvodní vymezení obchodních podmínek veřejné zakázky na služby ve vztahu ke svým potřebám a k rizikům souvisejícím s plněním veřejné zakázky. </w:t>
            </w:r>
          </w:p>
        </w:tc>
        <w:tc>
          <w:tcPr>
            <w:tcW w:w="4526" w:type="dxa"/>
          </w:tcPr>
          <w:p w:rsidR="00C96909" w:rsidRPr="00370A5B" w:rsidRDefault="00290B68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</w:t>
            </w:r>
            <w:r w:rsidR="00AB1CF6">
              <w:rPr>
                <w:rFonts w:asciiTheme="minorHAnsi" w:hAnsiTheme="minorHAnsi"/>
                <w:b/>
                <w:sz w:val="20"/>
                <w:szCs w:val="20"/>
              </w:rPr>
              <w:t xml:space="preserve"> požadováno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:rsidR="00C96909" w:rsidRPr="00370A5B" w:rsidRDefault="00C96909"/>
    <w:p w:rsidR="00C96909" w:rsidRPr="00370A5B" w:rsidRDefault="00C96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C96909" w:rsidRPr="00370A5B" w:rsidTr="00EF4183">
        <w:trPr>
          <w:trHeight w:val="218"/>
        </w:trPr>
        <w:tc>
          <w:tcPr>
            <w:tcW w:w="9039" w:type="dxa"/>
            <w:gridSpan w:val="2"/>
          </w:tcPr>
          <w:p w:rsidR="00C96909" w:rsidRPr="00370A5B" w:rsidRDefault="00C96909" w:rsidP="00290B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Odůvodnění vymezení technických podmínek veřejné zakázky podle § 5 </w:t>
            </w:r>
          </w:p>
        </w:tc>
      </w:tr>
      <w:tr w:rsidR="00C96909" w:rsidRPr="00370A5B" w:rsidTr="00EF4183">
        <w:trPr>
          <w:trHeight w:val="96"/>
        </w:trPr>
        <w:tc>
          <w:tcPr>
            <w:tcW w:w="4503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Technická podmínka </w:t>
            </w:r>
          </w:p>
        </w:tc>
        <w:tc>
          <w:tcPr>
            <w:tcW w:w="4536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Odůvodnění technické podmínky </w:t>
            </w:r>
          </w:p>
        </w:tc>
      </w:tr>
      <w:tr w:rsidR="00EF4183" w:rsidRPr="00370A5B" w:rsidTr="00EF4183">
        <w:trPr>
          <w:trHeight w:val="96"/>
        </w:trPr>
        <w:tc>
          <w:tcPr>
            <w:tcW w:w="4503" w:type="dxa"/>
          </w:tcPr>
          <w:p w:rsidR="00EF4183" w:rsidRPr="00370A5B" w:rsidRDefault="00EF4183" w:rsidP="00EF4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2"/>
                <w:szCs w:val="22"/>
              </w:rPr>
              <w:t>Není vymezena.</w:t>
            </w:r>
          </w:p>
        </w:tc>
        <w:tc>
          <w:tcPr>
            <w:tcW w:w="4536" w:type="dxa"/>
          </w:tcPr>
          <w:p w:rsidR="00EF4183" w:rsidRPr="00370A5B" w:rsidRDefault="00290B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Není</w:t>
            </w:r>
            <w:r w:rsidR="00E51CA0" w:rsidRPr="00370A5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:rsidR="00C96909" w:rsidRPr="00370A5B" w:rsidRDefault="00C96909"/>
    <w:p w:rsidR="00C96909" w:rsidRPr="00370A5B" w:rsidRDefault="00C96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494"/>
      </w:tblGrid>
      <w:tr w:rsidR="00C96909" w:rsidRPr="00370A5B" w:rsidTr="00C96909">
        <w:trPr>
          <w:trHeight w:val="218"/>
        </w:trPr>
        <w:tc>
          <w:tcPr>
            <w:tcW w:w="8988" w:type="dxa"/>
            <w:gridSpan w:val="2"/>
          </w:tcPr>
          <w:p w:rsidR="00C96909" w:rsidRPr="00370A5B" w:rsidRDefault="00C96909" w:rsidP="00290B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Odůvodnění stanovení základních a dílčích hodnotících kritérií podle § 6 </w:t>
            </w:r>
          </w:p>
        </w:tc>
      </w:tr>
      <w:tr w:rsidR="00C96909" w:rsidRPr="00370A5B" w:rsidTr="00C96909">
        <w:trPr>
          <w:trHeight w:val="96"/>
        </w:trPr>
        <w:tc>
          <w:tcPr>
            <w:tcW w:w="4494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Hodnotící kritérium </w:t>
            </w:r>
          </w:p>
        </w:tc>
        <w:tc>
          <w:tcPr>
            <w:tcW w:w="4494" w:type="dxa"/>
          </w:tcPr>
          <w:p w:rsidR="00C96909" w:rsidRPr="00370A5B" w:rsidRDefault="00C969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Odůvodnění </w:t>
            </w:r>
          </w:p>
        </w:tc>
      </w:tr>
      <w:tr w:rsidR="00C96909" w:rsidRPr="00370A5B" w:rsidTr="00C96909">
        <w:trPr>
          <w:trHeight w:val="339"/>
        </w:trPr>
        <w:tc>
          <w:tcPr>
            <w:tcW w:w="4494" w:type="dxa"/>
          </w:tcPr>
          <w:p w:rsidR="00C96909" w:rsidRPr="00370A5B" w:rsidRDefault="00C96909" w:rsidP="00EF4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Základním hodnotícím kritér</w:t>
            </w:r>
            <w:r w:rsidR="00EF4183" w:rsidRPr="00370A5B">
              <w:rPr>
                <w:rFonts w:asciiTheme="minorHAnsi" w:hAnsiTheme="minorHAnsi"/>
                <w:sz w:val="20"/>
                <w:szCs w:val="20"/>
              </w:rPr>
              <w:t>iem je nejnižší nabídková cena</w:t>
            </w:r>
            <w:r w:rsidRPr="00370A5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4494" w:type="dxa"/>
          </w:tcPr>
          <w:p w:rsidR="00C96909" w:rsidRPr="00370A5B" w:rsidRDefault="00EF4183" w:rsidP="00EF41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 xml:space="preserve">Veřejný zadavatel se rozhodl pro jediné hodnotící kritérium v podobě nejnižší nabídkové ceny z důvodu dosažení nejvyšší možné transparentnosti zadávacího řízení. </w:t>
            </w:r>
          </w:p>
        </w:tc>
      </w:tr>
    </w:tbl>
    <w:p w:rsidR="00C96909" w:rsidRPr="00370A5B" w:rsidRDefault="00C96909"/>
    <w:p w:rsidR="00E51CA0" w:rsidRPr="00370A5B" w:rsidRDefault="00E51CA0">
      <w:r w:rsidRPr="00370A5B">
        <w:br w:type="page"/>
      </w:r>
    </w:p>
    <w:p w:rsidR="00CE6BFC" w:rsidRPr="00370A5B" w:rsidRDefault="00CE6B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494"/>
      </w:tblGrid>
      <w:tr w:rsidR="00EF4183" w:rsidRPr="00370A5B" w:rsidTr="00EF4183">
        <w:trPr>
          <w:trHeight w:val="218"/>
        </w:trPr>
        <w:tc>
          <w:tcPr>
            <w:tcW w:w="8988" w:type="dxa"/>
            <w:gridSpan w:val="2"/>
          </w:tcPr>
          <w:p w:rsidR="00EF4183" w:rsidRPr="00370A5B" w:rsidRDefault="00EF4183" w:rsidP="00290B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Odůvodnění </w:t>
            </w:r>
            <w:r w:rsidR="00CE6BFC"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>předpokládané hodnoty veřejné zakázky podle § 7</w:t>
            </w: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4183" w:rsidRPr="00370A5B" w:rsidTr="00EF4183">
        <w:trPr>
          <w:trHeight w:val="96"/>
        </w:trPr>
        <w:tc>
          <w:tcPr>
            <w:tcW w:w="4494" w:type="dxa"/>
          </w:tcPr>
          <w:p w:rsidR="00EF4183" w:rsidRPr="00370A5B" w:rsidRDefault="00CE6BFC" w:rsidP="00EF4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>Hodnota</w:t>
            </w:r>
            <w:r w:rsidR="00EF4183"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4" w:type="dxa"/>
          </w:tcPr>
          <w:p w:rsidR="00EF4183" w:rsidRPr="00370A5B" w:rsidRDefault="00EF4183" w:rsidP="00EF4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Odůvodnění </w:t>
            </w:r>
          </w:p>
        </w:tc>
      </w:tr>
      <w:tr w:rsidR="00EF4183" w:rsidRPr="00370A5B" w:rsidTr="00EF4183">
        <w:trPr>
          <w:trHeight w:val="339"/>
        </w:trPr>
        <w:tc>
          <w:tcPr>
            <w:tcW w:w="4494" w:type="dxa"/>
          </w:tcPr>
          <w:p w:rsidR="00EF4183" w:rsidRPr="00370A5B" w:rsidRDefault="003770F8" w:rsidP="00290B6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70A5B">
              <w:rPr>
                <w:rFonts w:asciiTheme="minorHAnsi" w:hAnsiTheme="minorHAnsi"/>
                <w:sz w:val="20"/>
                <w:szCs w:val="20"/>
              </w:rPr>
              <w:t>V součtu pro obě části 48</w:t>
            </w:r>
            <w:r w:rsidR="00E51CA0" w:rsidRPr="00370A5B">
              <w:rPr>
                <w:rFonts w:asciiTheme="minorHAnsi" w:hAnsiTheme="minorHAnsi"/>
                <w:sz w:val="20"/>
                <w:szCs w:val="20"/>
              </w:rPr>
              <w:t> 000 000 Kč.</w:t>
            </w:r>
          </w:p>
        </w:tc>
        <w:tc>
          <w:tcPr>
            <w:tcW w:w="4494" w:type="dxa"/>
          </w:tcPr>
          <w:p w:rsidR="00EF4183" w:rsidRPr="00370A5B" w:rsidRDefault="00E51CA0" w:rsidP="00E51CA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70A5B">
              <w:rPr>
                <w:rFonts w:asciiTheme="minorHAnsi" w:hAnsiTheme="minorHAnsi"/>
                <w:b/>
                <w:sz w:val="20"/>
                <w:szCs w:val="20"/>
              </w:rPr>
              <w:t>Neaplikuje se. Zadavatel není veřejným zadavatelem podle § 2 odst. 2 písm. a) nebo b) zákona o veřejných zakázkách, a proto není dána povinnost odůvodnit stanovení předpokládané hodnoty veřejné zakázky.</w:t>
            </w:r>
            <w:r w:rsidR="00CE6BFC" w:rsidRPr="00370A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EF4183" w:rsidRPr="00370A5B" w:rsidRDefault="00EF4183"/>
    <w:p w:rsidR="00F856DD" w:rsidRPr="00716FB4" w:rsidRDefault="00F856DD" w:rsidP="00F856DD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716FB4">
        <w:rPr>
          <w:rFonts w:ascii="Calibri" w:eastAsia="Times New Roman" w:hAnsi="Calibri" w:cs="Calibri"/>
          <w:i/>
          <w:sz w:val="18"/>
          <w:szCs w:val="18"/>
        </w:rPr>
        <w:t>V Pardubicích dne 15. 4. 2013</w:t>
      </w:r>
    </w:p>
    <w:p w:rsidR="00F856DD" w:rsidRPr="00716FB4" w:rsidRDefault="00F856DD" w:rsidP="00F856DD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F856DD" w:rsidRPr="00716FB4" w:rsidRDefault="00F856DD" w:rsidP="00F856DD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F856DD" w:rsidRPr="00716FB4" w:rsidRDefault="00F856DD" w:rsidP="00F856DD">
      <w:pPr>
        <w:tabs>
          <w:tab w:val="left" w:pos="1695"/>
        </w:tabs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</w:p>
    <w:p w:rsidR="00F856DD" w:rsidRPr="00716FB4" w:rsidRDefault="00F856DD" w:rsidP="00F856DD">
      <w:pPr>
        <w:tabs>
          <w:tab w:val="left" w:pos="3969"/>
        </w:tabs>
        <w:spacing w:after="0" w:line="240" w:lineRule="auto"/>
        <w:ind w:left="4536"/>
        <w:jc w:val="center"/>
        <w:rPr>
          <w:rFonts w:ascii="Calibri" w:eastAsia="Times New Roman" w:hAnsi="Calibri" w:cs="Calibri"/>
          <w:i/>
          <w:noProof/>
          <w:sz w:val="18"/>
          <w:szCs w:val="18"/>
        </w:rPr>
      </w:pPr>
      <w:r w:rsidRPr="00716FB4">
        <w:rPr>
          <w:rFonts w:ascii="Calibri" w:eastAsia="Times New Roman" w:hAnsi="Calibri" w:cs="Calibri"/>
          <w:i/>
          <w:noProof/>
          <w:sz w:val="18"/>
          <w:szCs w:val="18"/>
        </w:rPr>
        <w:t>PhDr. Jana Haniková</w:t>
      </w:r>
    </w:p>
    <w:p w:rsidR="00F856DD" w:rsidRPr="00716FB4" w:rsidRDefault="00F856DD" w:rsidP="00F856DD">
      <w:pPr>
        <w:tabs>
          <w:tab w:val="left" w:pos="3969"/>
        </w:tabs>
        <w:spacing w:after="0" w:line="240" w:lineRule="auto"/>
        <w:ind w:left="4536"/>
        <w:jc w:val="center"/>
        <w:rPr>
          <w:rFonts w:ascii="Calibri" w:eastAsia="Times New Roman" w:hAnsi="Calibri" w:cs="Calibri"/>
          <w:i/>
          <w:noProof/>
          <w:sz w:val="18"/>
          <w:szCs w:val="18"/>
        </w:rPr>
      </w:pPr>
      <w:r w:rsidRPr="00716FB4">
        <w:rPr>
          <w:rFonts w:ascii="Calibri" w:eastAsia="Times New Roman" w:hAnsi="Calibri" w:cs="Calibri"/>
          <w:i/>
          <w:noProof/>
          <w:sz w:val="18"/>
          <w:szCs w:val="18"/>
        </w:rPr>
        <w:t>vedoucí kanceláře ředitele úřadu</w:t>
      </w:r>
    </w:p>
    <w:p w:rsidR="00F856DD" w:rsidRPr="00716FB4" w:rsidRDefault="00F856DD" w:rsidP="00F856DD">
      <w:pPr>
        <w:tabs>
          <w:tab w:val="left" w:pos="3969"/>
        </w:tabs>
        <w:spacing w:after="0" w:line="240" w:lineRule="auto"/>
        <w:ind w:left="4536"/>
        <w:jc w:val="center"/>
        <w:rPr>
          <w:rFonts w:ascii="Calibri" w:eastAsia="Times New Roman" w:hAnsi="Calibri" w:cs="Calibri"/>
          <w:i/>
          <w:noProof/>
          <w:sz w:val="18"/>
          <w:szCs w:val="18"/>
        </w:rPr>
      </w:pPr>
      <w:r w:rsidRPr="00716FB4">
        <w:rPr>
          <w:rFonts w:ascii="Calibri" w:eastAsia="Times New Roman" w:hAnsi="Calibri" w:cs="Calibri"/>
          <w:i/>
          <w:noProof/>
          <w:sz w:val="18"/>
          <w:szCs w:val="18"/>
        </w:rPr>
        <w:t>pověřená</w:t>
      </w:r>
      <w:bookmarkStart w:id="0" w:name="_GoBack"/>
      <w:bookmarkEnd w:id="0"/>
      <w:r w:rsidRPr="00716FB4">
        <w:rPr>
          <w:rFonts w:ascii="Calibri" w:eastAsia="Times New Roman" w:hAnsi="Calibri" w:cs="Calibri"/>
          <w:i/>
          <w:noProof/>
          <w:sz w:val="18"/>
          <w:szCs w:val="18"/>
        </w:rPr>
        <w:t xml:space="preserve"> hejtmanem</w:t>
      </w:r>
    </w:p>
    <w:p w:rsidR="00F856DD" w:rsidRPr="00716FB4" w:rsidRDefault="00F856DD" w:rsidP="00F856DD">
      <w:pPr>
        <w:tabs>
          <w:tab w:val="left" w:pos="3969"/>
        </w:tabs>
        <w:spacing w:after="0" w:line="240" w:lineRule="auto"/>
        <w:rPr>
          <w:rFonts w:ascii="Calibri" w:eastAsia="Times New Roman" w:hAnsi="Calibri" w:cs="Calibri"/>
          <w:i/>
          <w:noProof/>
          <w:sz w:val="18"/>
          <w:szCs w:val="18"/>
        </w:rPr>
      </w:pPr>
      <w:r w:rsidRPr="00716FB4">
        <w:rPr>
          <w:rFonts w:ascii="Calibri" w:eastAsia="Times New Roman" w:hAnsi="Calibri" w:cs="Calibri"/>
          <w:i/>
          <w:noProof/>
          <w:sz w:val="18"/>
          <w:szCs w:val="18"/>
        </w:rPr>
        <w:tab/>
      </w:r>
      <w:r w:rsidRPr="00716FB4">
        <w:rPr>
          <w:rFonts w:ascii="Calibri" w:eastAsia="Times New Roman" w:hAnsi="Calibri" w:cs="Calibri"/>
          <w:i/>
          <w:noProof/>
          <w:sz w:val="18"/>
          <w:szCs w:val="18"/>
        </w:rPr>
        <w:tab/>
        <w:t>schváleno usnesením Rady Pk dne 15. 4. 2013, č. R/</w:t>
      </w:r>
      <w:r w:rsidR="00A92810">
        <w:rPr>
          <w:rFonts w:ascii="Calibri" w:eastAsia="Times New Roman" w:hAnsi="Calibri" w:cs="Calibri"/>
          <w:i/>
          <w:noProof/>
          <w:sz w:val="18"/>
          <w:szCs w:val="18"/>
        </w:rPr>
        <w:t>297</w:t>
      </w:r>
      <w:r w:rsidRPr="00716FB4">
        <w:rPr>
          <w:rFonts w:ascii="Calibri" w:eastAsia="Times New Roman" w:hAnsi="Calibri" w:cs="Calibri"/>
          <w:i/>
          <w:noProof/>
          <w:sz w:val="18"/>
          <w:szCs w:val="18"/>
        </w:rPr>
        <w:t>/13</w:t>
      </w:r>
    </w:p>
    <w:p w:rsidR="00E51CA0" w:rsidRPr="00370A5B" w:rsidRDefault="00E51CA0" w:rsidP="00F856DD">
      <w:pPr>
        <w:rPr>
          <w:sz w:val="20"/>
          <w:szCs w:val="20"/>
        </w:rPr>
      </w:pPr>
    </w:p>
    <w:sectPr w:rsidR="00E51CA0" w:rsidRPr="00370A5B" w:rsidSect="00D82A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90" w:rsidRDefault="007A2490" w:rsidP="00431E04">
      <w:pPr>
        <w:spacing w:after="0" w:line="240" w:lineRule="auto"/>
      </w:pPr>
      <w:r>
        <w:separator/>
      </w:r>
    </w:p>
  </w:endnote>
  <w:endnote w:type="continuationSeparator" w:id="0">
    <w:p w:rsidR="007A2490" w:rsidRDefault="007A2490" w:rsidP="0043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90" w:rsidRDefault="007A2490" w:rsidP="00431E04">
      <w:pPr>
        <w:spacing w:after="0" w:line="240" w:lineRule="auto"/>
      </w:pPr>
      <w:r>
        <w:separator/>
      </w:r>
    </w:p>
  </w:footnote>
  <w:footnote w:type="continuationSeparator" w:id="0">
    <w:p w:rsidR="007A2490" w:rsidRDefault="007A2490" w:rsidP="0043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04" w:rsidRDefault="00431E04" w:rsidP="00426B3F">
    <w:pPr>
      <w:pStyle w:val="Zhlav"/>
      <w:jc w:val="right"/>
    </w:pPr>
    <w:proofErr w:type="spellStart"/>
    <w:r>
      <w:t>čj.</w:t>
    </w:r>
    <w:r w:rsidRPr="00431E04">
      <w:t>KrÚ</w:t>
    </w:r>
    <w:proofErr w:type="spellEnd"/>
    <w:r w:rsidRPr="00431E04">
      <w:t xml:space="preserve">  27987/2013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09"/>
    <w:rsid w:val="0002119F"/>
    <w:rsid w:val="001B27E5"/>
    <w:rsid w:val="00290B68"/>
    <w:rsid w:val="00370A5B"/>
    <w:rsid w:val="003770F8"/>
    <w:rsid w:val="00426B3F"/>
    <w:rsid w:val="00431BFE"/>
    <w:rsid w:val="00431E04"/>
    <w:rsid w:val="00470AE9"/>
    <w:rsid w:val="005E48F6"/>
    <w:rsid w:val="00716FB4"/>
    <w:rsid w:val="0072016D"/>
    <w:rsid w:val="007A2490"/>
    <w:rsid w:val="008C7919"/>
    <w:rsid w:val="008F40B5"/>
    <w:rsid w:val="00A92810"/>
    <w:rsid w:val="00AA256E"/>
    <w:rsid w:val="00AB1CF6"/>
    <w:rsid w:val="00BE2AC4"/>
    <w:rsid w:val="00C233F5"/>
    <w:rsid w:val="00C96909"/>
    <w:rsid w:val="00CE6BFC"/>
    <w:rsid w:val="00D25400"/>
    <w:rsid w:val="00D82A56"/>
    <w:rsid w:val="00DD5E0F"/>
    <w:rsid w:val="00DD6979"/>
    <w:rsid w:val="00E51CA0"/>
    <w:rsid w:val="00EF4183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69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11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1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1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1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04"/>
  </w:style>
  <w:style w:type="paragraph" w:styleId="Zpat">
    <w:name w:val="footer"/>
    <w:basedOn w:val="Normln"/>
    <w:link w:val="ZpatChar"/>
    <w:uiPriority w:val="99"/>
    <w:unhideWhenUsed/>
    <w:rsid w:val="0043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69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211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11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11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1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11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3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04"/>
  </w:style>
  <w:style w:type="paragraph" w:styleId="Zpat">
    <w:name w:val="footer"/>
    <w:basedOn w:val="Normln"/>
    <w:link w:val="ZpatChar"/>
    <w:uiPriority w:val="99"/>
    <w:unhideWhenUsed/>
    <w:rsid w:val="0043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Trávníčková</dc:creator>
  <cp:lastModifiedBy>Pavel Menšl</cp:lastModifiedBy>
  <cp:revision>11</cp:revision>
  <cp:lastPrinted>2013-04-17T06:36:00Z</cp:lastPrinted>
  <dcterms:created xsi:type="dcterms:W3CDTF">2013-03-21T08:29:00Z</dcterms:created>
  <dcterms:modified xsi:type="dcterms:W3CDTF">2013-04-17T06:41:00Z</dcterms:modified>
</cp:coreProperties>
</file>