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6220B2EC"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FC4EB4">
        <w:rPr>
          <w:rFonts w:ascii="Calibri" w:eastAsia="Calibri" w:hAnsi="Calibri" w:cs="Arial"/>
          <w:b/>
          <w:sz w:val="28"/>
          <w:szCs w:val="28"/>
          <w:lang w:eastAsia="en-US"/>
        </w:rPr>
        <w:t>3</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22EFC86B" w14:textId="77777777" w:rsidR="00FC4EB4" w:rsidRPr="008578E2" w:rsidRDefault="00FC4EB4" w:rsidP="00FC4EB4">
      <w:pPr>
        <w:pStyle w:val="Nadpis4"/>
        <w:shd w:val="clear" w:color="auto" w:fill="C5E0B3" w:themeFill="accent6" w:themeFillTint="66"/>
        <w:rPr>
          <w:rFonts w:asciiTheme="minorHAnsi" w:hAnsiTheme="minorHAnsi" w:cs="Arial"/>
          <w:bCs/>
          <w:sz w:val="28"/>
          <w:szCs w:val="28"/>
        </w:rPr>
      </w:pPr>
      <w:r w:rsidRPr="007906EC">
        <w:rPr>
          <w:rFonts w:asciiTheme="minorHAnsi" w:hAnsiTheme="minorHAnsi" w:cs="Arial"/>
          <w:bCs/>
          <w:sz w:val="28"/>
          <w:szCs w:val="28"/>
        </w:rPr>
        <w:t>Infuzní a transfuzní sety</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4446AB37"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2C1F32">
        <w:rPr>
          <w:rFonts w:ascii="Calibri" w:hAnsi="Calibri" w:cs="Arial"/>
          <w:b/>
          <w:sz w:val="28"/>
          <w:szCs w:val="28"/>
        </w:rPr>
        <w:t>3</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52FFB65F" w:rsidR="008F53E9" w:rsidRPr="00F16700" w:rsidRDefault="002C1F32" w:rsidP="008F53E9">
      <w:pPr>
        <w:shd w:val="clear" w:color="auto" w:fill="FFD966" w:themeFill="accent4" w:themeFillTint="99"/>
        <w:jc w:val="both"/>
        <w:rPr>
          <w:rFonts w:ascii="Calibri" w:hAnsi="Calibri" w:cs="Arial"/>
          <w:b/>
          <w:sz w:val="32"/>
          <w:szCs w:val="32"/>
        </w:rPr>
      </w:pPr>
      <w:r w:rsidRPr="002C1F32">
        <w:rPr>
          <w:rFonts w:ascii="Calibri" w:hAnsi="Calibri" w:cs="Arial"/>
          <w:b/>
          <w:sz w:val="28"/>
          <w:szCs w:val="28"/>
        </w:rPr>
        <w:t>Infuzní souprava s regulátorem průtoku pro spádové infuze</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2358D95B" w14:textId="1E598254" w:rsidR="008A269D"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6AE99BBE" w14:textId="77777777" w:rsidR="008A269D" w:rsidRPr="008A269D" w:rsidRDefault="008A269D" w:rsidP="00174B98">
      <w:pPr>
        <w:jc w:val="both"/>
        <w:rPr>
          <w:rFonts w:asciiTheme="minorHAnsi" w:hAnsiTheme="minorHAnsi" w:cstheme="minorHAnsi"/>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0C42A2E1" w:rsidR="007A449A" w:rsidRPr="00D00DB9" w:rsidRDefault="007A710B" w:rsidP="00580937">
            <w:pPr>
              <w:autoSpaceDE w:val="0"/>
              <w:autoSpaceDN w:val="0"/>
              <w:adjustRightInd w:val="0"/>
              <w:rPr>
                <w:rFonts w:asciiTheme="minorHAnsi" w:hAnsiTheme="minorHAnsi"/>
                <w:b/>
                <w:sz w:val="24"/>
              </w:rPr>
            </w:pPr>
            <w:r w:rsidRPr="007A710B">
              <w:rPr>
                <w:rFonts w:asciiTheme="minorHAnsi" w:hAnsiTheme="minorHAnsi"/>
                <w:b/>
                <w:sz w:val="24"/>
              </w:rPr>
              <w:t>Infuzní souprava s regulátorem průtoku pro spádové infuze</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E14BB3" w:rsidRPr="00AC0474" w14:paraId="36EE905B" w14:textId="77777777" w:rsidTr="00F9060A">
        <w:tc>
          <w:tcPr>
            <w:tcW w:w="4536" w:type="dxa"/>
            <w:vAlign w:val="bottom"/>
          </w:tcPr>
          <w:p w14:paraId="499D031C" w14:textId="0424059A" w:rsidR="00E14BB3" w:rsidRPr="008B7141" w:rsidRDefault="00E14BB3" w:rsidP="00E14BB3">
            <w:pPr>
              <w:rPr>
                <w:rFonts w:asciiTheme="minorHAnsi" w:hAnsiTheme="minorHAnsi" w:cstheme="minorHAnsi"/>
                <w:szCs w:val="20"/>
              </w:rPr>
            </w:pPr>
            <w:r>
              <w:rPr>
                <w:rFonts w:ascii="Calibri" w:hAnsi="Calibri" w:cs="Calibri"/>
                <w:color w:val="000000"/>
                <w:sz w:val="22"/>
                <w:szCs w:val="22"/>
              </w:rPr>
              <w:t>transparentní hadička min 150cm s Luer Lock konektorem</w:t>
            </w:r>
          </w:p>
        </w:tc>
        <w:tc>
          <w:tcPr>
            <w:tcW w:w="1276" w:type="dxa"/>
            <w:vAlign w:val="center"/>
          </w:tcPr>
          <w:p w14:paraId="278D239D" w14:textId="77777777"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r>
      <w:tr w:rsidR="00E14BB3" w:rsidRPr="00AC0474" w14:paraId="258F34FB" w14:textId="77777777" w:rsidTr="00F9060A">
        <w:tc>
          <w:tcPr>
            <w:tcW w:w="4536" w:type="dxa"/>
            <w:vAlign w:val="bottom"/>
          </w:tcPr>
          <w:p w14:paraId="7924C45A" w14:textId="74F78E87" w:rsidR="00E14BB3" w:rsidRPr="008B7141" w:rsidRDefault="00E14BB3" w:rsidP="00E14BB3">
            <w:pPr>
              <w:rPr>
                <w:rFonts w:asciiTheme="minorHAnsi" w:hAnsiTheme="minorHAnsi" w:cstheme="minorHAnsi"/>
                <w:szCs w:val="20"/>
              </w:rPr>
            </w:pPr>
            <w:r>
              <w:rPr>
                <w:rFonts w:ascii="Calibri" w:hAnsi="Calibri" w:cs="Calibri"/>
                <w:color w:val="000000"/>
                <w:sz w:val="22"/>
                <w:szCs w:val="22"/>
              </w:rPr>
              <w:t>universální napichovací hrot pro láhev i vak</w:t>
            </w:r>
          </w:p>
        </w:tc>
        <w:tc>
          <w:tcPr>
            <w:tcW w:w="1276" w:type="dxa"/>
            <w:vAlign w:val="center"/>
          </w:tcPr>
          <w:p w14:paraId="128DB3F9" w14:textId="77777777"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r>
      <w:tr w:rsidR="00E14BB3" w:rsidRPr="00AC0474" w14:paraId="01350C0C" w14:textId="77777777" w:rsidTr="00F9060A">
        <w:tc>
          <w:tcPr>
            <w:tcW w:w="4536" w:type="dxa"/>
            <w:vAlign w:val="bottom"/>
          </w:tcPr>
          <w:p w14:paraId="01F03869" w14:textId="5823C9FA" w:rsidR="00E14BB3" w:rsidRPr="008B7141" w:rsidRDefault="00E14BB3" w:rsidP="00E14BB3">
            <w:pPr>
              <w:rPr>
                <w:rFonts w:asciiTheme="minorHAnsi" w:hAnsiTheme="minorHAnsi" w:cstheme="minorHAnsi"/>
                <w:szCs w:val="20"/>
              </w:rPr>
            </w:pPr>
            <w:r>
              <w:rPr>
                <w:rFonts w:ascii="Calibri" w:hAnsi="Calibri" w:cs="Calibri"/>
                <w:color w:val="000000"/>
                <w:sz w:val="22"/>
                <w:szCs w:val="22"/>
              </w:rPr>
              <w:t xml:space="preserve">transparentní kapací komůrka s 15um kapalinovým filtrem </w:t>
            </w:r>
          </w:p>
        </w:tc>
        <w:tc>
          <w:tcPr>
            <w:tcW w:w="1276" w:type="dxa"/>
            <w:vAlign w:val="center"/>
          </w:tcPr>
          <w:p w14:paraId="77B0C299" w14:textId="77777777"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r>
      <w:tr w:rsidR="00E14BB3" w:rsidRPr="00AC0474" w14:paraId="26143EAA" w14:textId="77777777" w:rsidTr="00F9060A">
        <w:tc>
          <w:tcPr>
            <w:tcW w:w="4536" w:type="dxa"/>
            <w:vAlign w:val="bottom"/>
          </w:tcPr>
          <w:p w14:paraId="6B1BD46A" w14:textId="70085C40" w:rsidR="00E14BB3" w:rsidRPr="008B7141" w:rsidRDefault="00E14BB3" w:rsidP="00E14BB3">
            <w:pPr>
              <w:rPr>
                <w:rFonts w:asciiTheme="minorHAnsi" w:hAnsiTheme="minorHAnsi" w:cstheme="minorHAnsi"/>
                <w:szCs w:val="20"/>
              </w:rPr>
            </w:pPr>
            <w:r>
              <w:rPr>
                <w:rFonts w:ascii="Calibri" w:hAnsi="Calibri" w:cs="Calibri"/>
                <w:color w:val="000000"/>
                <w:sz w:val="22"/>
                <w:szCs w:val="22"/>
              </w:rPr>
              <w:t>integrované zavzdušnění s hydrofobním membránovým bakteriálním filtrem</w:t>
            </w:r>
          </w:p>
        </w:tc>
        <w:tc>
          <w:tcPr>
            <w:tcW w:w="1276" w:type="dxa"/>
            <w:vAlign w:val="center"/>
          </w:tcPr>
          <w:p w14:paraId="25B0DF38" w14:textId="77777777"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r>
      <w:tr w:rsidR="00E14BB3" w:rsidRPr="00AC0474" w14:paraId="3BF0A2D0" w14:textId="77777777" w:rsidTr="00F9060A">
        <w:tc>
          <w:tcPr>
            <w:tcW w:w="4536" w:type="dxa"/>
            <w:vAlign w:val="bottom"/>
          </w:tcPr>
          <w:p w14:paraId="71B4B5EE" w14:textId="0BC7FAB0" w:rsidR="00E14BB3" w:rsidRPr="008B7141" w:rsidRDefault="00E14BB3" w:rsidP="00E14BB3">
            <w:pPr>
              <w:rPr>
                <w:rFonts w:asciiTheme="minorHAnsi" w:hAnsiTheme="minorHAnsi" w:cstheme="minorHAnsi"/>
                <w:szCs w:val="20"/>
              </w:rPr>
            </w:pPr>
            <w:r>
              <w:rPr>
                <w:rFonts w:ascii="Calibri" w:hAnsi="Calibri" w:cs="Calibri"/>
                <w:color w:val="000000"/>
                <w:sz w:val="22"/>
                <w:szCs w:val="22"/>
              </w:rPr>
              <w:t>tlačka pro přerušení infuze</w:t>
            </w:r>
          </w:p>
        </w:tc>
        <w:tc>
          <w:tcPr>
            <w:tcW w:w="1276" w:type="dxa"/>
            <w:vAlign w:val="center"/>
          </w:tcPr>
          <w:p w14:paraId="3CB451D0" w14:textId="77777777"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r>
      <w:tr w:rsidR="00E14BB3" w:rsidRPr="00AC0474" w14:paraId="50ABDCC7" w14:textId="77777777" w:rsidTr="00F9060A">
        <w:tc>
          <w:tcPr>
            <w:tcW w:w="4536" w:type="dxa"/>
            <w:vAlign w:val="bottom"/>
          </w:tcPr>
          <w:p w14:paraId="19A2E3E6" w14:textId="11E8FA19" w:rsidR="00E14BB3" w:rsidRPr="008B7141" w:rsidRDefault="00E14BB3" w:rsidP="00E14BB3">
            <w:pPr>
              <w:rPr>
                <w:rFonts w:asciiTheme="minorHAnsi" w:hAnsiTheme="minorHAnsi" w:cstheme="minorHAnsi"/>
                <w:szCs w:val="20"/>
              </w:rPr>
            </w:pPr>
            <w:r>
              <w:rPr>
                <w:rFonts w:ascii="Calibri" w:hAnsi="Calibri" w:cs="Calibri"/>
                <w:color w:val="000000"/>
                <w:sz w:val="22"/>
                <w:szCs w:val="22"/>
              </w:rPr>
              <w:t>přesný, nastavitelný regulátor průtoku</w:t>
            </w:r>
          </w:p>
        </w:tc>
        <w:tc>
          <w:tcPr>
            <w:tcW w:w="1276" w:type="dxa"/>
            <w:vAlign w:val="center"/>
          </w:tcPr>
          <w:p w14:paraId="190DBC55" w14:textId="77777777"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r>
      <w:tr w:rsidR="00E14BB3" w:rsidRPr="00AC0474" w14:paraId="177A85C6" w14:textId="77777777" w:rsidTr="00F9060A">
        <w:tc>
          <w:tcPr>
            <w:tcW w:w="4536" w:type="dxa"/>
            <w:vAlign w:val="bottom"/>
          </w:tcPr>
          <w:p w14:paraId="7100D698" w14:textId="31CF417D" w:rsidR="00E14BB3" w:rsidRPr="008B7141" w:rsidRDefault="00E14BB3" w:rsidP="00E14BB3">
            <w:pPr>
              <w:rPr>
                <w:rFonts w:asciiTheme="minorHAnsi" w:hAnsiTheme="minorHAnsi" w:cstheme="minorHAnsi"/>
                <w:color w:val="000000"/>
                <w:sz w:val="22"/>
                <w:szCs w:val="22"/>
              </w:rPr>
            </w:pPr>
            <w:r>
              <w:rPr>
                <w:rFonts w:ascii="Calibri" w:hAnsi="Calibri" w:cs="Calibri"/>
                <w:color w:val="000000"/>
                <w:sz w:val="22"/>
                <w:szCs w:val="22"/>
              </w:rPr>
              <w:t>při regulaci průtoku jemná manipulace bez větší námahy</w:t>
            </w:r>
          </w:p>
        </w:tc>
        <w:tc>
          <w:tcPr>
            <w:tcW w:w="1276" w:type="dxa"/>
            <w:vAlign w:val="center"/>
          </w:tcPr>
          <w:p w14:paraId="483581C0" w14:textId="7368637F"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7BF7865" w14:textId="06BDF381"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r>
      <w:tr w:rsidR="00E14BB3" w:rsidRPr="00AC0474" w14:paraId="2C0E89B5" w14:textId="77777777" w:rsidTr="00F9060A">
        <w:tc>
          <w:tcPr>
            <w:tcW w:w="4536" w:type="dxa"/>
            <w:vAlign w:val="bottom"/>
          </w:tcPr>
          <w:p w14:paraId="02ED6A7A" w14:textId="771018EC" w:rsidR="00E14BB3" w:rsidRPr="008B7141" w:rsidRDefault="00E14BB3" w:rsidP="00E14BB3">
            <w:pPr>
              <w:rPr>
                <w:rFonts w:asciiTheme="minorHAnsi" w:hAnsiTheme="minorHAnsi" w:cstheme="minorHAnsi"/>
                <w:color w:val="000000"/>
                <w:sz w:val="22"/>
                <w:szCs w:val="22"/>
              </w:rPr>
            </w:pPr>
            <w:r>
              <w:rPr>
                <w:rFonts w:ascii="Calibri" w:hAnsi="Calibri" w:cs="Calibri"/>
                <w:color w:val="000000"/>
                <w:sz w:val="22"/>
                <w:szCs w:val="22"/>
              </w:rPr>
              <w:t>tlačka bezpečně držící v nastavené pozici</w:t>
            </w:r>
          </w:p>
        </w:tc>
        <w:tc>
          <w:tcPr>
            <w:tcW w:w="1276" w:type="dxa"/>
            <w:vAlign w:val="center"/>
          </w:tcPr>
          <w:p w14:paraId="691A7D58" w14:textId="01A2523F"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8478D8F" w14:textId="4B39FED9"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r>
      <w:tr w:rsidR="00E14BB3" w:rsidRPr="00AC0474" w14:paraId="48449FC8" w14:textId="77777777" w:rsidTr="00F9060A">
        <w:tc>
          <w:tcPr>
            <w:tcW w:w="4536" w:type="dxa"/>
            <w:vAlign w:val="bottom"/>
          </w:tcPr>
          <w:p w14:paraId="7D0C145A" w14:textId="3F98FEA2" w:rsidR="00E14BB3" w:rsidRPr="008B7141" w:rsidRDefault="00E14BB3" w:rsidP="00E14BB3">
            <w:pPr>
              <w:rPr>
                <w:rFonts w:asciiTheme="minorHAnsi" w:hAnsiTheme="minorHAnsi" w:cstheme="minorHAnsi"/>
                <w:color w:val="000000"/>
                <w:sz w:val="22"/>
                <w:szCs w:val="22"/>
              </w:rPr>
            </w:pPr>
            <w:r>
              <w:rPr>
                <w:rFonts w:ascii="Calibri" w:hAnsi="Calibri" w:cs="Calibri"/>
                <w:color w:val="000000"/>
                <w:sz w:val="22"/>
                <w:szCs w:val="22"/>
              </w:rPr>
              <w:t>měkký materiál kapací komůrky pro snadné nastavení hladinky</w:t>
            </w:r>
          </w:p>
        </w:tc>
        <w:tc>
          <w:tcPr>
            <w:tcW w:w="1276" w:type="dxa"/>
            <w:vAlign w:val="center"/>
          </w:tcPr>
          <w:p w14:paraId="5375B715" w14:textId="446DB8C4"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5FD7A2B" w14:textId="405605CE"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r>
      <w:tr w:rsidR="00E14BB3" w:rsidRPr="00AC0474" w14:paraId="181A73DD" w14:textId="77777777" w:rsidTr="00F9060A">
        <w:tc>
          <w:tcPr>
            <w:tcW w:w="4536" w:type="dxa"/>
            <w:vAlign w:val="bottom"/>
          </w:tcPr>
          <w:p w14:paraId="078A6769" w14:textId="6B6D7214" w:rsidR="00E14BB3" w:rsidRPr="008B7141" w:rsidRDefault="00E14BB3" w:rsidP="00E14BB3">
            <w:pPr>
              <w:rPr>
                <w:rFonts w:asciiTheme="minorHAnsi" w:hAnsiTheme="minorHAnsi" w:cstheme="minorHAnsi"/>
                <w:sz w:val="22"/>
                <w:szCs w:val="22"/>
              </w:rPr>
            </w:pPr>
            <w:r>
              <w:rPr>
                <w:rFonts w:ascii="Calibri" w:hAnsi="Calibri" w:cs="Calibri"/>
                <w:color w:val="000000"/>
                <w:sz w:val="22"/>
                <w:szCs w:val="22"/>
              </w:rPr>
              <w:t>bez přítomnosti ftalátů</w:t>
            </w:r>
          </w:p>
        </w:tc>
        <w:tc>
          <w:tcPr>
            <w:tcW w:w="1276" w:type="dxa"/>
            <w:vAlign w:val="center"/>
          </w:tcPr>
          <w:p w14:paraId="63ADC963" w14:textId="069050B8"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D13B52E" w14:textId="69965110"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r>
      <w:tr w:rsidR="00E14BB3" w:rsidRPr="00AC0474" w14:paraId="1F6BC6F8" w14:textId="77777777" w:rsidTr="00F9060A">
        <w:tc>
          <w:tcPr>
            <w:tcW w:w="4536" w:type="dxa"/>
            <w:vAlign w:val="bottom"/>
          </w:tcPr>
          <w:p w14:paraId="5D64EE3F" w14:textId="60BE5250" w:rsidR="00E14BB3" w:rsidRPr="008B7141" w:rsidRDefault="00E14BB3" w:rsidP="00E14BB3">
            <w:pPr>
              <w:rPr>
                <w:rFonts w:asciiTheme="minorHAnsi" w:hAnsiTheme="minorHAnsi" w:cstheme="minorHAnsi"/>
                <w:sz w:val="22"/>
                <w:szCs w:val="22"/>
              </w:rPr>
            </w:pPr>
            <w:r>
              <w:rPr>
                <w:rFonts w:ascii="Calibri" w:hAnsi="Calibri" w:cs="Calibri"/>
                <w:color w:val="000000"/>
                <w:sz w:val="22"/>
                <w:szCs w:val="22"/>
              </w:rPr>
              <w:lastRenderedPageBreak/>
              <w:t>sterilní</w:t>
            </w:r>
          </w:p>
        </w:tc>
        <w:tc>
          <w:tcPr>
            <w:tcW w:w="1276" w:type="dxa"/>
            <w:vAlign w:val="center"/>
          </w:tcPr>
          <w:p w14:paraId="0414D124" w14:textId="69755292"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DA7F4EC" w14:textId="46B0B531" w:rsidR="00E14BB3" w:rsidRPr="000645CC" w:rsidRDefault="00E14BB3" w:rsidP="00E14BB3">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2B52D4B8"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F5B"/>
    <w:rsid w:val="001D1372"/>
    <w:rsid w:val="001F056F"/>
    <w:rsid w:val="001F2952"/>
    <w:rsid w:val="002034A8"/>
    <w:rsid w:val="00214C1D"/>
    <w:rsid w:val="00243FA3"/>
    <w:rsid w:val="002B39F1"/>
    <w:rsid w:val="002C1F32"/>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5DCE"/>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86E09"/>
    <w:rsid w:val="007A449A"/>
    <w:rsid w:val="007A710B"/>
    <w:rsid w:val="007B6C29"/>
    <w:rsid w:val="007D1C73"/>
    <w:rsid w:val="007D591C"/>
    <w:rsid w:val="007E7126"/>
    <w:rsid w:val="007F694D"/>
    <w:rsid w:val="00814870"/>
    <w:rsid w:val="0081601A"/>
    <w:rsid w:val="00823323"/>
    <w:rsid w:val="00843B0E"/>
    <w:rsid w:val="00855DB3"/>
    <w:rsid w:val="00861184"/>
    <w:rsid w:val="00885D17"/>
    <w:rsid w:val="008A269D"/>
    <w:rsid w:val="008B1CD4"/>
    <w:rsid w:val="008B7141"/>
    <w:rsid w:val="008E1D92"/>
    <w:rsid w:val="008F53E9"/>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00DB9"/>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14BB3"/>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C4EB4"/>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Pages>
  <Words>313</Words>
  <Characters>1850</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Majeríková Karolina (PKN-ZAK)</cp:lastModifiedBy>
  <cp:revision>23</cp:revision>
  <dcterms:created xsi:type="dcterms:W3CDTF">2020-09-15T10:14:00Z</dcterms:created>
  <dcterms:modified xsi:type="dcterms:W3CDTF">2021-05-11T13:11:00Z</dcterms:modified>
</cp:coreProperties>
</file>