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8E741" w14:textId="77777777" w:rsidR="001D1372" w:rsidRDefault="001D1372" w:rsidP="009B4E45">
      <w:pPr>
        <w:jc w:val="both"/>
        <w:outlineLvl w:val="0"/>
        <w:rPr>
          <w:rFonts w:ascii="Calibri" w:eastAsia="Calibri" w:hAnsi="Calibri" w:cs="Arial"/>
          <w:b/>
          <w:sz w:val="28"/>
          <w:szCs w:val="28"/>
          <w:lang w:eastAsia="en-US"/>
        </w:rPr>
      </w:pPr>
    </w:p>
    <w:p w14:paraId="6ADC7869" w14:textId="3D05CD8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170C48">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27043F25" w14:textId="77777777" w:rsidR="00F42F2C" w:rsidRDefault="00F42F2C" w:rsidP="009B4E45">
      <w:pPr>
        <w:jc w:val="both"/>
        <w:outlineLvl w:val="0"/>
        <w:rPr>
          <w:rFonts w:ascii="Calibri" w:eastAsia="Calibri" w:hAnsi="Calibri" w:cs="Arial"/>
          <w:b/>
          <w:sz w:val="28"/>
          <w:szCs w:val="28"/>
          <w:lang w:eastAsia="en-US"/>
        </w:rPr>
      </w:pPr>
    </w:p>
    <w:p w14:paraId="68F7309A" w14:textId="6798BDE6"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170C48">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6E106CB1" w14:textId="77777777" w:rsidR="00074528" w:rsidRDefault="00074528" w:rsidP="009B4E45">
      <w:pPr>
        <w:jc w:val="both"/>
        <w:outlineLvl w:val="0"/>
        <w:rPr>
          <w:rFonts w:ascii="Calibri" w:eastAsia="Calibri" w:hAnsi="Calibri" w:cs="Arial"/>
          <w:b/>
          <w:sz w:val="28"/>
          <w:szCs w:val="28"/>
          <w:lang w:eastAsia="en-US"/>
        </w:rPr>
      </w:pPr>
    </w:p>
    <w:p w14:paraId="0726BFF6"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EC450C0" w14:textId="7DC81380" w:rsidR="00393D63" w:rsidRPr="00393D63" w:rsidRDefault="00F02F73" w:rsidP="00BE5F4E">
      <w:pPr>
        <w:pStyle w:val="Nadpis8"/>
        <w:jc w:val="left"/>
        <w:rPr>
          <w:rFonts w:asciiTheme="minorHAnsi" w:hAnsiTheme="minorHAnsi"/>
          <w:b w:val="0"/>
          <w:bCs/>
          <w:sz w:val="24"/>
        </w:rPr>
      </w:pPr>
      <w:r>
        <w:t xml:space="preserve">Dodávka </w:t>
      </w:r>
      <w:r w:rsidR="00003B24">
        <w:t>fetální</w:t>
      </w:r>
      <w:r w:rsidR="00BE5F4E">
        <w:t>c</w:t>
      </w:r>
      <w:r w:rsidR="00003B24">
        <w:t>h monitor</w:t>
      </w:r>
      <w:r w:rsidR="00BE5F4E">
        <w:t xml:space="preserve">ů </w:t>
      </w:r>
    </w:p>
    <w:p w14:paraId="1C5A931E"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59CAB6AB"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0CEB6FB"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254E9480" w14:textId="77777777" w:rsidR="00F42F2C" w:rsidRPr="00C52FD4" w:rsidRDefault="00F42F2C" w:rsidP="00F42F2C">
      <w:pPr>
        <w:pStyle w:val="Zkladntext2"/>
        <w:rPr>
          <w:rFonts w:ascii="Calibri" w:hAnsi="Calibri" w:cs="Arial"/>
          <w:sz w:val="22"/>
          <w:szCs w:val="22"/>
        </w:rPr>
      </w:pPr>
    </w:p>
    <w:p w14:paraId="79FEA34B" w14:textId="287EC4F5" w:rsidR="008E1D92" w:rsidRDefault="006367D7" w:rsidP="006367D7">
      <w:pPr>
        <w:suppressAutoHyphens/>
        <w:spacing w:after="160" w:line="276" w:lineRule="auto"/>
        <w:contextualSpacing/>
        <w:jc w:val="both"/>
        <w:rPr>
          <w:rFonts w:ascii="Calibri" w:hAnsi="Calibri" w:cs="Arial"/>
          <w:sz w:val="22"/>
          <w:szCs w:val="22"/>
        </w:rPr>
      </w:pPr>
      <w:r w:rsidRPr="006367D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72E4C581" w14:textId="77777777" w:rsidR="006367D7" w:rsidRDefault="006367D7" w:rsidP="00602A33">
      <w:pPr>
        <w:pStyle w:val="Nadpis2"/>
        <w:rPr>
          <w:sz w:val="28"/>
          <w:szCs w:val="28"/>
        </w:rPr>
      </w:pPr>
    </w:p>
    <w:p w14:paraId="38CB7F17" w14:textId="62AA17B0" w:rsidR="00602A33" w:rsidRDefault="00602A33" w:rsidP="00FD19A8">
      <w:pPr>
        <w:pStyle w:val="Nadpis2"/>
        <w:numPr>
          <w:ilvl w:val="0"/>
          <w:numId w:val="24"/>
        </w:numPr>
        <w:ind w:left="426" w:hanging="426"/>
        <w:rPr>
          <w:sz w:val="28"/>
          <w:szCs w:val="28"/>
        </w:rPr>
      </w:pPr>
      <w:r w:rsidRPr="00EE1E0E">
        <w:rPr>
          <w:sz w:val="28"/>
          <w:szCs w:val="28"/>
        </w:rPr>
        <w:t xml:space="preserve">Technické </w:t>
      </w:r>
      <w:r w:rsidR="00393D63">
        <w:rPr>
          <w:sz w:val="28"/>
          <w:szCs w:val="28"/>
        </w:rPr>
        <w:t>parametry</w:t>
      </w:r>
    </w:p>
    <w:p w14:paraId="71D75F28" w14:textId="77777777" w:rsidR="00654188" w:rsidRPr="00654188" w:rsidRDefault="00654188" w:rsidP="00654188">
      <w:pPr>
        <w:rPr>
          <w:lang w:eastAsia="en-US"/>
        </w:rPr>
      </w:pPr>
    </w:p>
    <w:p w14:paraId="6E6A7E82"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3C20B6C" w14:textId="77777777" w:rsidTr="00FD19A8">
        <w:trPr>
          <w:trHeight w:val="387"/>
          <w:tblHeader/>
        </w:trPr>
        <w:tc>
          <w:tcPr>
            <w:tcW w:w="4536" w:type="dxa"/>
            <w:shd w:val="clear" w:color="auto" w:fill="BDD6EE" w:themeFill="accent1" w:themeFillTint="66"/>
            <w:vAlign w:val="center"/>
          </w:tcPr>
          <w:p w14:paraId="0684408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1AAC6C43" w14:textId="3195FC8B" w:rsidR="00600F8C" w:rsidRPr="00393D63" w:rsidRDefault="00402545" w:rsidP="00600F8C">
            <w:pPr>
              <w:autoSpaceDE w:val="0"/>
              <w:autoSpaceDN w:val="0"/>
              <w:adjustRightInd w:val="0"/>
              <w:rPr>
                <w:rFonts w:asciiTheme="minorHAnsi" w:hAnsiTheme="minorHAnsi"/>
                <w:b/>
                <w:bCs/>
                <w:sz w:val="28"/>
                <w:szCs w:val="28"/>
              </w:rPr>
            </w:pPr>
            <w:r w:rsidRPr="00402545">
              <w:rPr>
                <w:rFonts w:ascii="Calibri" w:hAnsi="Calibri" w:cs="Arial"/>
                <w:b/>
                <w:sz w:val="28"/>
                <w:szCs w:val="28"/>
              </w:rPr>
              <w:t>Fetální monitor – KTG dvojčata pro Svitavskou nemocnici</w:t>
            </w:r>
          </w:p>
        </w:tc>
      </w:tr>
      <w:tr w:rsidR="00654188" w:rsidRPr="00654188" w14:paraId="6D7A0D0A" w14:textId="77777777" w:rsidTr="000B179B">
        <w:trPr>
          <w:tblHeader/>
        </w:trPr>
        <w:tc>
          <w:tcPr>
            <w:tcW w:w="4536" w:type="dxa"/>
            <w:shd w:val="clear" w:color="auto" w:fill="F7CAAC" w:themeFill="accent2" w:themeFillTint="66"/>
          </w:tcPr>
          <w:p w14:paraId="263D1A3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1233348"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E730456"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4A0A751E" w14:textId="77777777" w:rsidTr="00402545">
        <w:tc>
          <w:tcPr>
            <w:tcW w:w="4536" w:type="dxa"/>
            <w:vAlign w:val="center"/>
          </w:tcPr>
          <w:p w14:paraId="7E532281" w14:textId="77777777" w:rsidR="00264610"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 xml:space="preserve">Lehký a kompaktní </w:t>
            </w:r>
            <w:proofErr w:type="spellStart"/>
            <w:r w:rsidRPr="00BE5F4E">
              <w:rPr>
                <w:rFonts w:asciiTheme="minorHAnsi" w:hAnsiTheme="minorHAnsi" w:cstheme="minorHAnsi"/>
                <w:sz w:val="22"/>
                <w:szCs w:val="22"/>
              </w:rPr>
              <w:t>intrapartální</w:t>
            </w:r>
            <w:proofErr w:type="spellEnd"/>
            <w:r w:rsidRPr="00BE5F4E">
              <w:rPr>
                <w:rFonts w:asciiTheme="minorHAnsi" w:hAnsiTheme="minorHAnsi" w:cstheme="minorHAnsi"/>
                <w:sz w:val="22"/>
                <w:szCs w:val="22"/>
              </w:rPr>
              <w:t xml:space="preserve"> fetální monitor</w:t>
            </w:r>
          </w:p>
        </w:tc>
        <w:tc>
          <w:tcPr>
            <w:tcW w:w="1276" w:type="dxa"/>
            <w:vAlign w:val="center"/>
          </w:tcPr>
          <w:p w14:paraId="565FA207"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DD7C76D"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264610" w:rsidRPr="00C10A7D" w14:paraId="798998EF" w14:textId="77777777" w:rsidTr="00402545">
        <w:tc>
          <w:tcPr>
            <w:tcW w:w="4536" w:type="dxa"/>
            <w:vAlign w:val="center"/>
          </w:tcPr>
          <w:p w14:paraId="0E3BD58B" w14:textId="77777777" w:rsidR="00DC078E"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Min. 6,5“ LCD displej s dotykovým ovládáním – možnost polohování</w:t>
            </w:r>
          </w:p>
        </w:tc>
        <w:tc>
          <w:tcPr>
            <w:tcW w:w="1276" w:type="dxa"/>
            <w:vAlign w:val="center"/>
          </w:tcPr>
          <w:p w14:paraId="287C0093"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382EE164"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264610" w:rsidRPr="00C10A7D" w14:paraId="2362F31C" w14:textId="77777777" w:rsidTr="00402545">
        <w:tc>
          <w:tcPr>
            <w:tcW w:w="4536" w:type="dxa"/>
            <w:vAlign w:val="center"/>
          </w:tcPr>
          <w:p w14:paraId="2EBD0056" w14:textId="77777777" w:rsidR="00264610"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Ovládání</w:t>
            </w:r>
            <w:r w:rsidR="00C30CA0" w:rsidRPr="00BE5F4E">
              <w:rPr>
                <w:rFonts w:asciiTheme="minorHAnsi" w:hAnsiTheme="minorHAnsi" w:cstheme="minorHAnsi"/>
                <w:sz w:val="22"/>
                <w:szCs w:val="22"/>
              </w:rPr>
              <w:t xml:space="preserve"> </w:t>
            </w:r>
            <w:r w:rsidRPr="00BE5F4E">
              <w:rPr>
                <w:rFonts w:asciiTheme="minorHAnsi" w:hAnsiTheme="minorHAnsi" w:cstheme="minorHAnsi"/>
                <w:sz w:val="22"/>
                <w:szCs w:val="22"/>
              </w:rPr>
              <w:t>v českém jazyce</w:t>
            </w:r>
          </w:p>
        </w:tc>
        <w:tc>
          <w:tcPr>
            <w:tcW w:w="1276" w:type="dxa"/>
            <w:vAlign w:val="center"/>
          </w:tcPr>
          <w:p w14:paraId="23C2B24B"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7F3EB2EC"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264610" w:rsidRPr="00C10A7D" w14:paraId="2301C942" w14:textId="77777777" w:rsidTr="00402545">
        <w:tc>
          <w:tcPr>
            <w:tcW w:w="4536" w:type="dxa"/>
            <w:vAlign w:val="center"/>
          </w:tcPr>
          <w:p w14:paraId="261537E4" w14:textId="77777777" w:rsidR="00264610"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 xml:space="preserve">Snímání srdeční frekvence plodu – US sondou, zároveň monitorování přímé srdeční frekvence pomocí </w:t>
            </w:r>
            <w:proofErr w:type="spellStart"/>
            <w:r w:rsidRPr="00BE5F4E">
              <w:rPr>
                <w:rFonts w:asciiTheme="minorHAnsi" w:hAnsiTheme="minorHAnsi" w:cstheme="minorHAnsi"/>
                <w:sz w:val="22"/>
                <w:szCs w:val="22"/>
              </w:rPr>
              <w:t>skalpových</w:t>
            </w:r>
            <w:proofErr w:type="spellEnd"/>
            <w:r w:rsidRPr="00BE5F4E">
              <w:rPr>
                <w:rFonts w:asciiTheme="minorHAnsi" w:hAnsiTheme="minorHAnsi" w:cstheme="minorHAnsi"/>
                <w:sz w:val="22"/>
                <w:szCs w:val="22"/>
              </w:rPr>
              <w:t xml:space="preserve"> elektrod</w:t>
            </w:r>
          </w:p>
        </w:tc>
        <w:tc>
          <w:tcPr>
            <w:tcW w:w="1276" w:type="dxa"/>
            <w:vAlign w:val="center"/>
          </w:tcPr>
          <w:p w14:paraId="170DDA95"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098734D0"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264610" w:rsidRPr="002476E6" w14:paraId="66A3637D" w14:textId="77777777" w:rsidTr="00402545">
        <w:tc>
          <w:tcPr>
            <w:tcW w:w="4536" w:type="dxa"/>
            <w:vAlign w:val="center"/>
          </w:tcPr>
          <w:p w14:paraId="1692BD93" w14:textId="77777777" w:rsidR="00264610"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Monitorování děložních stahů – TOCO sonda</w:t>
            </w:r>
          </w:p>
        </w:tc>
        <w:tc>
          <w:tcPr>
            <w:tcW w:w="1276" w:type="dxa"/>
            <w:vAlign w:val="center"/>
          </w:tcPr>
          <w:p w14:paraId="167F66A7"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3091DBA0"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264610" w:rsidRPr="002476E6" w14:paraId="594F5EEF" w14:textId="77777777" w:rsidTr="00402545">
        <w:tc>
          <w:tcPr>
            <w:tcW w:w="4536" w:type="dxa"/>
            <w:vAlign w:val="center"/>
          </w:tcPr>
          <w:p w14:paraId="252C8E80" w14:textId="77777777" w:rsidR="00264610"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SW pro snímání dvojčat standard – aktivace připojením druhé US sondy</w:t>
            </w:r>
          </w:p>
        </w:tc>
        <w:tc>
          <w:tcPr>
            <w:tcW w:w="1276" w:type="dxa"/>
            <w:vAlign w:val="center"/>
          </w:tcPr>
          <w:p w14:paraId="3963810B"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395A53D8"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264610" w:rsidRPr="002476E6" w14:paraId="51B5B259" w14:textId="77777777" w:rsidTr="00402545">
        <w:tc>
          <w:tcPr>
            <w:tcW w:w="4536" w:type="dxa"/>
            <w:vAlign w:val="center"/>
          </w:tcPr>
          <w:p w14:paraId="54F9CC04" w14:textId="77777777" w:rsidR="00264610" w:rsidRPr="00BE5F4E" w:rsidRDefault="00E563A5" w:rsidP="00E563A5">
            <w:pPr>
              <w:spacing w:line="276" w:lineRule="auto"/>
              <w:jc w:val="both"/>
              <w:rPr>
                <w:rFonts w:asciiTheme="minorHAnsi" w:hAnsiTheme="minorHAnsi" w:cstheme="minorHAnsi"/>
                <w:sz w:val="22"/>
                <w:szCs w:val="22"/>
              </w:rPr>
            </w:pPr>
            <w:r w:rsidRPr="00BE5F4E">
              <w:rPr>
                <w:rFonts w:asciiTheme="minorHAnsi" w:hAnsiTheme="minorHAnsi" w:cstheme="minorHAnsi"/>
                <w:sz w:val="22"/>
                <w:szCs w:val="22"/>
              </w:rPr>
              <w:t>Možnost rozšíření o monitorování trojčat (SW + US sonda)</w:t>
            </w:r>
          </w:p>
        </w:tc>
        <w:tc>
          <w:tcPr>
            <w:tcW w:w="1276" w:type="dxa"/>
            <w:vAlign w:val="center"/>
          </w:tcPr>
          <w:p w14:paraId="0E14A374"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48CF3F21" w14:textId="77777777" w:rsidR="00264610" w:rsidRPr="00BE5F4E" w:rsidRDefault="00264610"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E80362" w:rsidRPr="002476E6" w14:paraId="4B06E031" w14:textId="77777777" w:rsidTr="00402545">
        <w:tc>
          <w:tcPr>
            <w:tcW w:w="4536" w:type="dxa"/>
            <w:vAlign w:val="center"/>
          </w:tcPr>
          <w:p w14:paraId="4287E69C" w14:textId="77777777" w:rsidR="00E80362" w:rsidRPr="00BE5F4E" w:rsidRDefault="00E80362" w:rsidP="00521035">
            <w:pPr>
              <w:pStyle w:val="Zkladntext"/>
              <w:widowControl w:val="0"/>
              <w:shd w:val="clear" w:color="auto" w:fill="auto"/>
              <w:autoSpaceDE/>
              <w:autoSpaceDN/>
              <w:adjustRightInd/>
              <w:rPr>
                <w:b w:val="0"/>
                <w:bCs/>
                <w:sz w:val="22"/>
                <w:szCs w:val="22"/>
              </w:rPr>
            </w:pPr>
            <w:r w:rsidRPr="00BE5F4E">
              <w:rPr>
                <w:b w:val="0"/>
                <w:bCs/>
                <w:sz w:val="22"/>
                <w:szCs w:val="22"/>
              </w:rPr>
              <w:t>Automatická detekce pohybu plodů</w:t>
            </w:r>
          </w:p>
        </w:tc>
        <w:tc>
          <w:tcPr>
            <w:tcW w:w="1276" w:type="dxa"/>
            <w:vAlign w:val="center"/>
          </w:tcPr>
          <w:p w14:paraId="72A6C62F" w14:textId="77777777" w:rsidR="00E80362" w:rsidRPr="00BE5F4E" w:rsidRDefault="00E80362"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030DFF46" w14:textId="77777777" w:rsidR="00E80362" w:rsidRPr="00BE5F4E" w:rsidRDefault="00E80362"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E80362" w:rsidRPr="002476E6" w14:paraId="4EA49C0D" w14:textId="77777777" w:rsidTr="00402545">
        <w:tc>
          <w:tcPr>
            <w:tcW w:w="4536" w:type="dxa"/>
            <w:vAlign w:val="center"/>
          </w:tcPr>
          <w:p w14:paraId="61D3A7BF" w14:textId="77777777" w:rsidR="00E80362" w:rsidRPr="00BE5F4E" w:rsidRDefault="00E80362" w:rsidP="004D0CE5">
            <w:pPr>
              <w:pStyle w:val="Zkladntext"/>
              <w:widowControl w:val="0"/>
              <w:shd w:val="clear" w:color="auto" w:fill="auto"/>
              <w:autoSpaceDE/>
              <w:autoSpaceDN/>
              <w:adjustRightInd/>
              <w:rPr>
                <w:b w:val="0"/>
                <w:bCs/>
                <w:sz w:val="22"/>
                <w:szCs w:val="22"/>
              </w:rPr>
            </w:pPr>
            <w:r w:rsidRPr="00BE5F4E">
              <w:rPr>
                <w:b w:val="0"/>
                <w:bCs/>
                <w:sz w:val="22"/>
                <w:szCs w:val="22"/>
              </w:rPr>
              <w:t>Verifikace kanálů mezi plody a mezi matkou a plody</w:t>
            </w:r>
          </w:p>
        </w:tc>
        <w:tc>
          <w:tcPr>
            <w:tcW w:w="1276" w:type="dxa"/>
            <w:vAlign w:val="center"/>
          </w:tcPr>
          <w:p w14:paraId="0FD7231B" w14:textId="77777777" w:rsidR="00E80362" w:rsidRPr="00BE5F4E" w:rsidRDefault="00E80362"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4B6A78AF" w14:textId="77777777" w:rsidR="00E80362" w:rsidRPr="00BE5F4E" w:rsidRDefault="00E80362"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E80362" w:rsidRPr="002476E6" w14:paraId="592F6F97" w14:textId="77777777" w:rsidTr="00402545">
        <w:tc>
          <w:tcPr>
            <w:tcW w:w="4536" w:type="dxa"/>
            <w:vAlign w:val="center"/>
          </w:tcPr>
          <w:p w14:paraId="1C038DB2" w14:textId="77777777" w:rsidR="00E80362" w:rsidRPr="00BE5F4E" w:rsidRDefault="00E80362" w:rsidP="004D0CE5">
            <w:pPr>
              <w:pStyle w:val="Zkladntext"/>
              <w:widowControl w:val="0"/>
              <w:shd w:val="clear" w:color="auto" w:fill="auto"/>
              <w:autoSpaceDE/>
              <w:autoSpaceDN/>
              <w:adjustRightInd/>
              <w:rPr>
                <w:b w:val="0"/>
                <w:bCs/>
                <w:sz w:val="22"/>
                <w:szCs w:val="22"/>
              </w:rPr>
            </w:pPr>
            <w:r w:rsidRPr="00BE5F4E">
              <w:rPr>
                <w:b w:val="0"/>
                <w:bCs/>
                <w:sz w:val="22"/>
                <w:szCs w:val="22"/>
              </w:rPr>
              <w:lastRenderedPageBreak/>
              <w:t>Rozsah měření srdeční frekvence plodu US sondou: 50-240 tepů za minutu</w:t>
            </w:r>
          </w:p>
        </w:tc>
        <w:tc>
          <w:tcPr>
            <w:tcW w:w="1276" w:type="dxa"/>
            <w:vAlign w:val="center"/>
          </w:tcPr>
          <w:p w14:paraId="4F5F9984" w14:textId="77777777" w:rsidR="00E80362" w:rsidRPr="00BE5F4E" w:rsidRDefault="00E80362"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1912B1B" w14:textId="77777777" w:rsidR="00E80362" w:rsidRPr="00BE5F4E" w:rsidRDefault="00E80362"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E563A5" w:rsidRPr="002476E6" w14:paraId="3FB1FD89" w14:textId="77777777" w:rsidTr="00402545">
        <w:tc>
          <w:tcPr>
            <w:tcW w:w="4536" w:type="dxa"/>
            <w:vAlign w:val="center"/>
          </w:tcPr>
          <w:p w14:paraId="0BD8EA52" w14:textId="77777777" w:rsidR="00E563A5" w:rsidRPr="00BE5F4E" w:rsidRDefault="00E80362" w:rsidP="00E80362">
            <w:pPr>
              <w:pStyle w:val="Zkladntext"/>
              <w:widowControl w:val="0"/>
              <w:shd w:val="clear" w:color="auto" w:fill="auto"/>
              <w:autoSpaceDE/>
              <w:autoSpaceDN/>
              <w:adjustRightInd/>
              <w:rPr>
                <w:b w:val="0"/>
                <w:bCs/>
                <w:sz w:val="22"/>
                <w:szCs w:val="22"/>
              </w:rPr>
            </w:pPr>
            <w:r w:rsidRPr="00BE5F4E">
              <w:rPr>
                <w:b w:val="0"/>
                <w:bCs/>
                <w:sz w:val="22"/>
                <w:szCs w:val="22"/>
              </w:rPr>
              <w:t>puls matky snímaný z TOCO sondy v rozsahu 40-240 tepů za minutu</w:t>
            </w:r>
          </w:p>
        </w:tc>
        <w:tc>
          <w:tcPr>
            <w:tcW w:w="1276" w:type="dxa"/>
            <w:vAlign w:val="center"/>
          </w:tcPr>
          <w:p w14:paraId="1BA205F0" w14:textId="77777777" w:rsidR="00E563A5" w:rsidRPr="00BE5F4E" w:rsidRDefault="00E563A5"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31CA79DE" w14:textId="77777777" w:rsidR="00E563A5" w:rsidRPr="00BE5F4E" w:rsidRDefault="00E563A5" w:rsidP="00264610">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E80362" w:rsidRPr="002476E6" w14:paraId="169703A3" w14:textId="77777777" w:rsidTr="00402545">
        <w:tc>
          <w:tcPr>
            <w:tcW w:w="4536" w:type="dxa"/>
            <w:vAlign w:val="center"/>
          </w:tcPr>
          <w:p w14:paraId="2A5839FA" w14:textId="77777777" w:rsidR="00E80362" w:rsidRPr="00BE5F4E" w:rsidRDefault="00E80362" w:rsidP="00E80362">
            <w:pPr>
              <w:pStyle w:val="Zkladntext"/>
              <w:widowControl w:val="0"/>
              <w:shd w:val="clear" w:color="auto" w:fill="auto"/>
              <w:autoSpaceDE/>
              <w:autoSpaceDN/>
              <w:adjustRightInd/>
              <w:rPr>
                <w:b w:val="0"/>
                <w:bCs/>
                <w:sz w:val="22"/>
                <w:szCs w:val="22"/>
              </w:rPr>
            </w:pPr>
            <w:r w:rsidRPr="00BE5F4E">
              <w:rPr>
                <w:b w:val="0"/>
                <w:bCs/>
                <w:sz w:val="22"/>
                <w:szCs w:val="22"/>
              </w:rPr>
              <w:t>Lehké a kompaktní voděodolné sondy vybavené identifikátorem sloužící k určení, která sonda přenáší srdeční frekvenci</w:t>
            </w:r>
          </w:p>
        </w:tc>
        <w:tc>
          <w:tcPr>
            <w:tcW w:w="1276" w:type="dxa"/>
            <w:vAlign w:val="center"/>
          </w:tcPr>
          <w:p w14:paraId="15B4F10F"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599079A1"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449C7B59" w14:textId="77777777" w:rsidTr="00402545">
        <w:tc>
          <w:tcPr>
            <w:tcW w:w="4536" w:type="dxa"/>
            <w:vAlign w:val="center"/>
          </w:tcPr>
          <w:p w14:paraId="3A733824" w14:textId="77777777" w:rsidR="00E80362" w:rsidRPr="00BE5F4E" w:rsidRDefault="00E80362" w:rsidP="00E80362">
            <w:pPr>
              <w:pStyle w:val="Zkladntext"/>
              <w:widowControl w:val="0"/>
              <w:shd w:val="clear" w:color="auto" w:fill="auto"/>
              <w:autoSpaceDE/>
              <w:autoSpaceDN/>
              <w:adjustRightInd/>
              <w:rPr>
                <w:b w:val="0"/>
                <w:bCs/>
                <w:sz w:val="22"/>
                <w:szCs w:val="22"/>
              </w:rPr>
            </w:pPr>
            <w:r w:rsidRPr="00BE5F4E">
              <w:rPr>
                <w:b w:val="0"/>
                <w:bCs/>
                <w:sz w:val="22"/>
                <w:szCs w:val="22"/>
              </w:rPr>
              <w:t>Možnost zadání pacientských dat, možnost vkládání předem definovaných poznámek do záznamu</w:t>
            </w:r>
          </w:p>
        </w:tc>
        <w:tc>
          <w:tcPr>
            <w:tcW w:w="1276" w:type="dxa"/>
            <w:vAlign w:val="center"/>
          </w:tcPr>
          <w:p w14:paraId="713D9232"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21E6F30"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2E1242D6" w14:textId="77777777" w:rsidTr="00402545">
        <w:tc>
          <w:tcPr>
            <w:tcW w:w="4536" w:type="dxa"/>
            <w:vAlign w:val="center"/>
          </w:tcPr>
          <w:p w14:paraId="4234E949" w14:textId="77777777" w:rsidR="00E80362" w:rsidRPr="00BE5F4E" w:rsidRDefault="00E80362"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sz w:val="22"/>
                <w:szCs w:val="22"/>
              </w:rPr>
              <w:t>Nastavitelné alarmy měřených parametrů včetně hlasitosti</w:t>
            </w:r>
          </w:p>
        </w:tc>
        <w:tc>
          <w:tcPr>
            <w:tcW w:w="1276" w:type="dxa"/>
            <w:vAlign w:val="center"/>
          </w:tcPr>
          <w:p w14:paraId="02E67B34"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5F1119A9"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44ED6EE2" w14:textId="77777777" w:rsidTr="00402545">
        <w:tc>
          <w:tcPr>
            <w:tcW w:w="4536" w:type="dxa"/>
            <w:vAlign w:val="center"/>
          </w:tcPr>
          <w:p w14:paraId="0D9ADF71" w14:textId="77777777" w:rsidR="00E80362" w:rsidRPr="00BE5F4E" w:rsidRDefault="00E80362"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sz w:val="22"/>
                <w:szCs w:val="22"/>
              </w:rPr>
              <w:t>Regulovatelná hlasitost ozev tepové frekvence plodu</w:t>
            </w:r>
          </w:p>
        </w:tc>
        <w:tc>
          <w:tcPr>
            <w:tcW w:w="1276" w:type="dxa"/>
            <w:vAlign w:val="center"/>
          </w:tcPr>
          <w:p w14:paraId="097AA169"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408EE4D4"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60F899EF" w14:textId="77777777" w:rsidTr="00402545">
        <w:tc>
          <w:tcPr>
            <w:tcW w:w="4536" w:type="dxa"/>
            <w:vAlign w:val="center"/>
          </w:tcPr>
          <w:p w14:paraId="63C3B415" w14:textId="77777777" w:rsidR="00E80362" w:rsidRPr="00BE5F4E" w:rsidRDefault="00E80362"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sz w:val="22"/>
                <w:szCs w:val="22"/>
              </w:rPr>
              <w:t>Zapisovač – tisk záznamu na termopapír, nastavitelná rychlost (1, 2, 3 cm/min.), nastavitelný časovač – záznamu</w:t>
            </w:r>
          </w:p>
        </w:tc>
        <w:tc>
          <w:tcPr>
            <w:tcW w:w="1276" w:type="dxa"/>
            <w:vAlign w:val="center"/>
          </w:tcPr>
          <w:p w14:paraId="65E07D9E"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703FF721"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0EC8D547" w14:textId="77777777" w:rsidTr="00402545">
        <w:tc>
          <w:tcPr>
            <w:tcW w:w="4536" w:type="dxa"/>
            <w:vAlign w:val="center"/>
          </w:tcPr>
          <w:p w14:paraId="3C3643DC" w14:textId="77777777" w:rsidR="00E80362" w:rsidRPr="00BE5F4E" w:rsidRDefault="00E80362"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sz w:val="22"/>
                <w:szCs w:val="22"/>
              </w:rPr>
              <w:t xml:space="preserve">Zápis do paměti – možnost dotisku v případě nedostatku papíru </w:t>
            </w:r>
          </w:p>
        </w:tc>
        <w:tc>
          <w:tcPr>
            <w:tcW w:w="1276" w:type="dxa"/>
            <w:vAlign w:val="center"/>
          </w:tcPr>
          <w:p w14:paraId="08D62731"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1AAA353B"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0276B00D" w14:textId="77777777" w:rsidTr="00402545">
        <w:trPr>
          <w:trHeight w:val="806"/>
        </w:trPr>
        <w:tc>
          <w:tcPr>
            <w:tcW w:w="4536" w:type="dxa"/>
            <w:vAlign w:val="center"/>
          </w:tcPr>
          <w:p w14:paraId="49AACB26" w14:textId="77777777" w:rsidR="00E80362" w:rsidRPr="00BE5F4E" w:rsidRDefault="00C30CA0"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bCs/>
                <w:sz w:val="22"/>
                <w:szCs w:val="22"/>
              </w:rPr>
              <w:t>Musí mít m</w:t>
            </w:r>
            <w:r w:rsidR="00E80362" w:rsidRPr="00BE5F4E">
              <w:rPr>
                <w:rFonts w:asciiTheme="minorHAnsi" w:hAnsiTheme="minorHAnsi" w:cstheme="minorHAnsi"/>
                <w:b w:val="0"/>
                <w:sz w:val="22"/>
                <w:szCs w:val="22"/>
              </w:rPr>
              <w:t>ožnost připojení bezdrátového monitorování – telemetrie</w:t>
            </w:r>
          </w:p>
        </w:tc>
        <w:tc>
          <w:tcPr>
            <w:tcW w:w="1276" w:type="dxa"/>
            <w:vAlign w:val="center"/>
          </w:tcPr>
          <w:p w14:paraId="38406026"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18B56880"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2A2F46FD" w14:textId="77777777" w:rsidTr="00402545">
        <w:tc>
          <w:tcPr>
            <w:tcW w:w="4536" w:type="dxa"/>
            <w:vAlign w:val="center"/>
          </w:tcPr>
          <w:p w14:paraId="1E4C8305" w14:textId="77777777" w:rsidR="00E80362" w:rsidRPr="00BE5F4E" w:rsidRDefault="00C30CA0"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bCs/>
                <w:sz w:val="22"/>
                <w:szCs w:val="22"/>
              </w:rPr>
              <w:t>M</w:t>
            </w:r>
            <w:r w:rsidR="00E80362" w:rsidRPr="00BE5F4E">
              <w:rPr>
                <w:rFonts w:asciiTheme="minorHAnsi" w:hAnsiTheme="minorHAnsi" w:cstheme="minorHAnsi"/>
                <w:b w:val="0"/>
                <w:bCs/>
                <w:sz w:val="22"/>
                <w:szCs w:val="22"/>
              </w:rPr>
              <w:t>ožnost</w:t>
            </w:r>
            <w:r w:rsidR="00E80362" w:rsidRPr="00BE5F4E">
              <w:rPr>
                <w:rFonts w:asciiTheme="minorHAnsi" w:hAnsiTheme="minorHAnsi" w:cstheme="minorHAnsi"/>
                <w:b w:val="0"/>
                <w:sz w:val="22"/>
                <w:szCs w:val="22"/>
              </w:rPr>
              <w:t xml:space="preserve"> připojení do centrálního monitorovacího systému </w:t>
            </w:r>
          </w:p>
        </w:tc>
        <w:tc>
          <w:tcPr>
            <w:tcW w:w="1276" w:type="dxa"/>
            <w:vAlign w:val="center"/>
          </w:tcPr>
          <w:p w14:paraId="784B154E"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737D54E8"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r w:rsidR="00E80362" w:rsidRPr="002476E6" w14:paraId="03599C80" w14:textId="77777777" w:rsidTr="00402545">
        <w:tc>
          <w:tcPr>
            <w:tcW w:w="4536" w:type="dxa"/>
            <w:vAlign w:val="center"/>
          </w:tcPr>
          <w:p w14:paraId="72C31161" w14:textId="77777777" w:rsidR="00E80362" w:rsidRPr="00BE5F4E" w:rsidRDefault="00E80362" w:rsidP="00E80362">
            <w:pPr>
              <w:pStyle w:val="Zkladntext"/>
              <w:widowControl w:val="0"/>
              <w:shd w:val="clear" w:color="auto" w:fill="auto"/>
              <w:autoSpaceDE/>
              <w:autoSpaceDN/>
              <w:adjustRightInd/>
              <w:rPr>
                <w:rFonts w:asciiTheme="minorHAnsi" w:hAnsiTheme="minorHAnsi" w:cstheme="minorHAnsi"/>
                <w:b w:val="0"/>
                <w:sz w:val="22"/>
                <w:szCs w:val="22"/>
              </w:rPr>
            </w:pPr>
            <w:r w:rsidRPr="00BE5F4E">
              <w:rPr>
                <w:rFonts w:asciiTheme="minorHAnsi" w:hAnsiTheme="minorHAnsi" w:cstheme="minorHAnsi"/>
                <w:b w:val="0"/>
                <w:sz w:val="22"/>
                <w:szCs w:val="22"/>
              </w:rPr>
              <w:t>Stojan doporučený výrobcem</w:t>
            </w:r>
          </w:p>
        </w:tc>
        <w:tc>
          <w:tcPr>
            <w:tcW w:w="1276" w:type="dxa"/>
            <w:vAlign w:val="center"/>
          </w:tcPr>
          <w:p w14:paraId="407E9C4A"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c>
          <w:tcPr>
            <w:tcW w:w="3821" w:type="dxa"/>
            <w:vAlign w:val="center"/>
          </w:tcPr>
          <w:p w14:paraId="543EAC02" w14:textId="77777777" w:rsidR="00E80362" w:rsidRPr="00BE5F4E" w:rsidRDefault="00E80362" w:rsidP="00E80362">
            <w:pPr>
              <w:jc w:val="center"/>
              <w:rPr>
                <w:sz w:val="22"/>
                <w:szCs w:val="22"/>
              </w:rPr>
            </w:pPr>
            <w:r w:rsidRPr="00BE5F4E">
              <w:rPr>
                <w:rFonts w:ascii="Calibri" w:hAnsi="Calibri" w:cs="Calibri"/>
                <w:color w:val="FF0000"/>
                <w:sz w:val="22"/>
                <w:szCs w:val="22"/>
              </w:rPr>
              <w:t>(doplní dodavatel)</w:t>
            </w:r>
          </w:p>
        </w:tc>
      </w:tr>
    </w:tbl>
    <w:p w14:paraId="1FD590D3" w14:textId="199A026D" w:rsidR="00FF52A3" w:rsidRDefault="00FF52A3" w:rsidP="00FF52A3">
      <w:pPr>
        <w:rPr>
          <w:lang w:eastAsia="en-US"/>
        </w:rPr>
      </w:pPr>
    </w:p>
    <w:p w14:paraId="445BC15A" w14:textId="0F15648D" w:rsidR="00FD19A8" w:rsidRDefault="00FD19A8" w:rsidP="00FF52A3">
      <w:pPr>
        <w:rPr>
          <w:lang w:eastAsia="en-US"/>
        </w:rPr>
      </w:pPr>
    </w:p>
    <w:p w14:paraId="42BF3A4F" w14:textId="3D2CAE4F" w:rsidR="00FD19A8" w:rsidRDefault="00FD19A8" w:rsidP="00FF52A3">
      <w:pPr>
        <w:rPr>
          <w:lang w:eastAsia="en-US"/>
        </w:rPr>
      </w:pPr>
    </w:p>
    <w:p w14:paraId="7627DCB8" w14:textId="724B7EBE" w:rsidR="00FD19A8" w:rsidRDefault="00FD19A8" w:rsidP="00FF52A3">
      <w:pPr>
        <w:rPr>
          <w:lang w:eastAsia="en-US"/>
        </w:rPr>
      </w:pPr>
    </w:p>
    <w:p w14:paraId="554A419F" w14:textId="77777777" w:rsidR="00FD19A8" w:rsidRDefault="00FD19A8" w:rsidP="00FF52A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466C7" w:rsidRPr="00654188" w14:paraId="06A63931" w14:textId="77777777" w:rsidTr="00402545">
        <w:trPr>
          <w:trHeight w:val="387"/>
          <w:tblHeader/>
        </w:trPr>
        <w:tc>
          <w:tcPr>
            <w:tcW w:w="4536" w:type="dxa"/>
            <w:shd w:val="clear" w:color="auto" w:fill="9EEA58"/>
            <w:vAlign w:val="center"/>
          </w:tcPr>
          <w:p w14:paraId="5F21BC94" w14:textId="77777777" w:rsidR="007466C7" w:rsidRPr="00393D63" w:rsidRDefault="007466C7" w:rsidP="00F76C73">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9EEA58"/>
            <w:vAlign w:val="center"/>
          </w:tcPr>
          <w:p w14:paraId="2C4C5002" w14:textId="41D2CC59" w:rsidR="007466C7" w:rsidRPr="00393D63" w:rsidRDefault="00402545" w:rsidP="00F76C73">
            <w:pPr>
              <w:autoSpaceDE w:val="0"/>
              <w:autoSpaceDN w:val="0"/>
              <w:adjustRightInd w:val="0"/>
              <w:rPr>
                <w:rFonts w:asciiTheme="minorHAnsi" w:hAnsiTheme="minorHAnsi"/>
                <w:b/>
                <w:bCs/>
                <w:sz w:val="28"/>
                <w:szCs w:val="28"/>
              </w:rPr>
            </w:pPr>
            <w:r w:rsidRPr="00402545">
              <w:rPr>
                <w:rFonts w:ascii="Calibri" w:hAnsi="Calibri" w:cs="Arial"/>
                <w:b/>
                <w:sz w:val="28"/>
                <w:szCs w:val="28"/>
              </w:rPr>
              <w:t>Fetální monitor – KTG pro Orlickoústeckou nemocnici</w:t>
            </w:r>
          </w:p>
        </w:tc>
      </w:tr>
      <w:tr w:rsidR="007466C7" w:rsidRPr="00654188" w14:paraId="0898A3FF" w14:textId="77777777" w:rsidTr="00F76C73">
        <w:trPr>
          <w:tblHeader/>
        </w:trPr>
        <w:tc>
          <w:tcPr>
            <w:tcW w:w="4536" w:type="dxa"/>
            <w:shd w:val="clear" w:color="auto" w:fill="F7CAAC" w:themeFill="accent2" w:themeFillTint="66"/>
          </w:tcPr>
          <w:p w14:paraId="31ECC5D3" w14:textId="77777777" w:rsidR="007466C7" w:rsidRPr="000B3193" w:rsidRDefault="007466C7" w:rsidP="00F76C7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36DEBE5" w14:textId="77777777" w:rsidR="007466C7" w:rsidRPr="00600F8C" w:rsidRDefault="007466C7" w:rsidP="00F76C73">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AFF8B88" w14:textId="77777777" w:rsidR="007466C7" w:rsidRPr="00600F8C" w:rsidRDefault="007466C7" w:rsidP="00F76C73">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466C7" w:rsidRPr="00C10A7D" w14:paraId="36B9D88A" w14:textId="77777777" w:rsidTr="00402545">
        <w:tc>
          <w:tcPr>
            <w:tcW w:w="4536" w:type="dxa"/>
            <w:vAlign w:val="center"/>
          </w:tcPr>
          <w:p w14:paraId="62D81AF7" w14:textId="77777777" w:rsidR="007466C7" w:rsidRPr="00BE5F4E" w:rsidRDefault="00F304A0" w:rsidP="00F76C73">
            <w:pPr>
              <w:rPr>
                <w:sz w:val="22"/>
                <w:szCs w:val="22"/>
              </w:rPr>
            </w:pPr>
            <w:r w:rsidRPr="00BE5F4E">
              <w:rPr>
                <w:rFonts w:asciiTheme="minorHAnsi" w:hAnsiTheme="minorHAnsi" w:cstheme="minorHAnsi"/>
                <w:sz w:val="22"/>
                <w:szCs w:val="22"/>
              </w:rPr>
              <w:t xml:space="preserve">Lehký a kompaktní </w:t>
            </w:r>
            <w:proofErr w:type="spellStart"/>
            <w:r w:rsidRPr="00BE5F4E">
              <w:rPr>
                <w:rFonts w:asciiTheme="minorHAnsi" w:hAnsiTheme="minorHAnsi" w:cstheme="minorHAnsi"/>
                <w:sz w:val="22"/>
                <w:szCs w:val="22"/>
              </w:rPr>
              <w:t>intrapartální</w:t>
            </w:r>
            <w:proofErr w:type="spellEnd"/>
            <w:r w:rsidRPr="00BE5F4E">
              <w:rPr>
                <w:rFonts w:asciiTheme="minorHAnsi" w:hAnsiTheme="minorHAnsi" w:cstheme="minorHAnsi"/>
                <w:sz w:val="22"/>
                <w:szCs w:val="22"/>
              </w:rPr>
              <w:t xml:space="preserve"> fetální monitor</w:t>
            </w:r>
          </w:p>
        </w:tc>
        <w:tc>
          <w:tcPr>
            <w:tcW w:w="1276" w:type="dxa"/>
            <w:vAlign w:val="center"/>
          </w:tcPr>
          <w:p w14:paraId="178F71D1"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750E0A9B"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C10A7D" w14:paraId="56F6147F" w14:textId="77777777" w:rsidTr="00402545">
        <w:tc>
          <w:tcPr>
            <w:tcW w:w="4536" w:type="dxa"/>
            <w:vAlign w:val="center"/>
          </w:tcPr>
          <w:p w14:paraId="12B50645" w14:textId="77777777" w:rsidR="007466C7" w:rsidRPr="00BE5F4E" w:rsidRDefault="00F304A0" w:rsidP="00F76C73">
            <w:pPr>
              <w:rPr>
                <w:sz w:val="22"/>
                <w:szCs w:val="22"/>
              </w:rPr>
            </w:pPr>
            <w:r w:rsidRPr="00BE5F4E">
              <w:rPr>
                <w:rFonts w:asciiTheme="minorHAnsi" w:hAnsiTheme="minorHAnsi" w:cstheme="minorHAnsi"/>
                <w:sz w:val="22"/>
                <w:szCs w:val="22"/>
              </w:rPr>
              <w:t>Min. 6,5“ LCD displej s dotykovým ovládáním – možnost polohování</w:t>
            </w:r>
          </w:p>
        </w:tc>
        <w:tc>
          <w:tcPr>
            <w:tcW w:w="1276" w:type="dxa"/>
            <w:vAlign w:val="center"/>
          </w:tcPr>
          <w:p w14:paraId="45BE3A44"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DCE1B32"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C10A7D" w14:paraId="3C6BC15F" w14:textId="77777777" w:rsidTr="00402545">
        <w:tc>
          <w:tcPr>
            <w:tcW w:w="4536" w:type="dxa"/>
            <w:vAlign w:val="center"/>
          </w:tcPr>
          <w:p w14:paraId="397D22FB" w14:textId="77777777" w:rsidR="007466C7" w:rsidRPr="00BE5F4E" w:rsidRDefault="00F304A0" w:rsidP="00F76C73">
            <w:pPr>
              <w:spacing w:after="240"/>
              <w:rPr>
                <w:rFonts w:ascii="Tahoma" w:hAnsi="Tahoma" w:cs="Tahoma"/>
                <w:sz w:val="22"/>
                <w:szCs w:val="22"/>
              </w:rPr>
            </w:pPr>
            <w:r w:rsidRPr="00BE5F4E">
              <w:rPr>
                <w:rFonts w:asciiTheme="minorHAnsi" w:hAnsiTheme="minorHAnsi" w:cstheme="minorHAnsi"/>
                <w:sz w:val="22"/>
                <w:szCs w:val="22"/>
              </w:rPr>
              <w:t>Ovládání</w:t>
            </w:r>
            <w:r w:rsidR="00C30CA0" w:rsidRPr="00BE5F4E">
              <w:rPr>
                <w:rFonts w:asciiTheme="minorHAnsi" w:hAnsiTheme="minorHAnsi" w:cstheme="minorHAnsi"/>
                <w:sz w:val="22"/>
                <w:szCs w:val="22"/>
              </w:rPr>
              <w:t xml:space="preserve"> </w:t>
            </w:r>
            <w:r w:rsidRPr="00BE5F4E">
              <w:rPr>
                <w:rFonts w:asciiTheme="minorHAnsi" w:hAnsiTheme="minorHAnsi" w:cstheme="minorHAnsi"/>
                <w:sz w:val="22"/>
                <w:szCs w:val="22"/>
              </w:rPr>
              <w:t>v českém jazyce</w:t>
            </w:r>
          </w:p>
        </w:tc>
        <w:tc>
          <w:tcPr>
            <w:tcW w:w="1276" w:type="dxa"/>
            <w:vAlign w:val="center"/>
          </w:tcPr>
          <w:p w14:paraId="10B3BEAB"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5AA66489"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C10A7D" w14:paraId="7C796C10" w14:textId="77777777" w:rsidTr="00402545">
        <w:tc>
          <w:tcPr>
            <w:tcW w:w="4536" w:type="dxa"/>
            <w:vAlign w:val="center"/>
          </w:tcPr>
          <w:p w14:paraId="0CE63F0B" w14:textId="77777777" w:rsidR="007466C7" w:rsidRPr="00BE5F4E" w:rsidRDefault="00F304A0" w:rsidP="00F76C73">
            <w:pPr>
              <w:spacing w:before="100" w:beforeAutospacing="1" w:after="100" w:afterAutospacing="1"/>
              <w:rPr>
                <w:sz w:val="22"/>
                <w:szCs w:val="22"/>
              </w:rPr>
            </w:pPr>
            <w:r w:rsidRPr="00BE5F4E">
              <w:rPr>
                <w:rFonts w:asciiTheme="minorHAnsi" w:hAnsiTheme="minorHAnsi" w:cstheme="minorHAnsi"/>
                <w:sz w:val="22"/>
                <w:szCs w:val="22"/>
              </w:rPr>
              <w:lastRenderedPageBreak/>
              <w:t>Snímání srdeční frekvence plodu – US sondou</w:t>
            </w:r>
          </w:p>
        </w:tc>
        <w:tc>
          <w:tcPr>
            <w:tcW w:w="1276" w:type="dxa"/>
            <w:vAlign w:val="center"/>
          </w:tcPr>
          <w:p w14:paraId="780D4130"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F8AD77C"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2476E6" w14:paraId="4DD96129" w14:textId="77777777" w:rsidTr="00402545">
        <w:tc>
          <w:tcPr>
            <w:tcW w:w="4536" w:type="dxa"/>
            <w:vAlign w:val="center"/>
          </w:tcPr>
          <w:p w14:paraId="59338E9B" w14:textId="77777777" w:rsidR="007466C7" w:rsidRPr="00BE5F4E" w:rsidRDefault="00F304A0" w:rsidP="00F76C73">
            <w:pPr>
              <w:spacing w:before="100" w:beforeAutospacing="1" w:after="100" w:afterAutospacing="1"/>
              <w:rPr>
                <w:sz w:val="22"/>
                <w:szCs w:val="22"/>
              </w:rPr>
            </w:pPr>
            <w:r w:rsidRPr="00BE5F4E">
              <w:rPr>
                <w:rFonts w:asciiTheme="minorHAnsi" w:hAnsiTheme="minorHAnsi" w:cstheme="minorHAnsi"/>
                <w:sz w:val="22"/>
                <w:szCs w:val="22"/>
              </w:rPr>
              <w:t>Monitorování děložních stahů – TOCO sonda</w:t>
            </w:r>
          </w:p>
        </w:tc>
        <w:tc>
          <w:tcPr>
            <w:tcW w:w="1276" w:type="dxa"/>
            <w:vAlign w:val="center"/>
          </w:tcPr>
          <w:p w14:paraId="29F2C69F"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61BA9455"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2476E6" w14:paraId="4F4FC0A6" w14:textId="77777777" w:rsidTr="00402545">
        <w:tc>
          <w:tcPr>
            <w:tcW w:w="4536" w:type="dxa"/>
            <w:vAlign w:val="center"/>
          </w:tcPr>
          <w:p w14:paraId="27714B65" w14:textId="77777777" w:rsidR="007466C7" w:rsidRPr="00BE5F4E" w:rsidRDefault="00F304A0" w:rsidP="00F304A0">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Monitorování srdeční frekvence plodu </w:t>
            </w:r>
          </w:p>
        </w:tc>
        <w:tc>
          <w:tcPr>
            <w:tcW w:w="1276" w:type="dxa"/>
            <w:vAlign w:val="center"/>
          </w:tcPr>
          <w:p w14:paraId="406631F1"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B96B2A2"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2476E6" w14:paraId="497544E8" w14:textId="77777777" w:rsidTr="00402545">
        <w:tc>
          <w:tcPr>
            <w:tcW w:w="4536" w:type="dxa"/>
            <w:vAlign w:val="center"/>
          </w:tcPr>
          <w:p w14:paraId="419E8B4D" w14:textId="77777777" w:rsidR="007466C7" w:rsidRPr="00BE5F4E" w:rsidRDefault="00F304A0" w:rsidP="00F304A0">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SW pro snímání dvojčat v základní výbavě – aktivace připojením druhé US sondy </w:t>
            </w:r>
          </w:p>
        </w:tc>
        <w:tc>
          <w:tcPr>
            <w:tcW w:w="1276" w:type="dxa"/>
            <w:vAlign w:val="center"/>
          </w:tcPr>
          <w:p w14:paraId="7A52F17F"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5B077DE3"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7466C7" w:rsidRPr="002476E6" w14:paraId="5568FB92" w14:textId="77777777" w:rsidTr="00402545">
        <w:tc>
          <w:tcPr>
            <w:tcW w:w="4536" w:type="dxa"/>
            <w:vAlign w:val="center"/>
          </w:tcPr>
          <w:p w14:paraId="32E15126" w14:textId="77777777" w:rsidR="007466C7" w:rsidRPr="00BE5F4E" w:rsidRDefault="00F304A0"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Puls matky snímaný z TOCO sondy v rozsahu 40-240 tepů za minutu </w:t>
            </w:r>
          </w:p>
        </w:tc>
        <w:tc>
          <w:tcPr>
            <w:tcW w:w="1276" w:type="dxa"/>
            <w:vAlign w:val="center"/>
          </w:tcPr>
          <w:p w14:paraId="08F2E29E"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68EC89A2" w14:textId="77777777" w:rsidR="007466C7" w:rsidRPr="00BE5F4E" w:rsidRDefault="007466C7" w:rsidP="00F76C73">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0658D9" w:rsidRPr="002476E6" w14:paraId="4577B2F3" w14:textId="77777777" w:rsidTr="00402545">
        <w:tc>
          <w:tcPr>
            <w:tcW w:w="4536" w:type="dxa"/>
            <w:vAlign w:val="center"/>
          </w:tcPr>
          <w:p w14:paraId="3787E336"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Rozsah měření srdeční frekvence plodu US sondou: 50-240 tepů za minutu</w:t>
            </w:r>
          </w:p>
        </w:tc>
        <w:tc>
          <w:tcPr>
            <w:tcW w:w="1276" w:type="dxa"/>
            <w:vAlign w:val="center"/>
          </w:tcPr>
          <w:p w14:paraId="732459EB"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549A7B4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3A4FADB6" w14:textId="77777777" w:rsidTr="00402545">
        <w:tc>
          <w:tcPr>
            <w:tcW w:w="4536" w:type="dxa"/>
            <w:vAlign w:val="center"/>
          </w:tcPr>
          <w:p w14:paraId="1C18E68D"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Automatická detekce pohybu plodů </w:t>
            </w:r>
          </w:p>
        </w:tc>
        <w:tc>
          <w:tcPr>
            <w:tcW w:w="1276" w:type="dxa"/>
            <w:vAlign w:val="center"/>
          </w:tcPr>
          <w:p w14:paraId="025173A3"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09CDE17A"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1407FB27" w14:textId="77777777" w:rsidTr="00402545">
        <w:tc>
          <w:tcPr>
            <w:tcW w:w="4536" w:type="dxa"/>
            <w:vAlign w:val="center"/>
          </w:tcPr>
          <w:p w14:paraId="1DC7E5EB"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Verifikace kanálů mezi plody a mezi matkou a plody </w:t>
            </w:r>
          </w:p>
        </w:tc>
        <w:tc>
          <w:tcPr>
            <w:tcW w:w="1276" w:type="dxa"/>
            <w:vAlign w:val="center"/>
          </w:tcPr>
          <w:p w14:paraId="18CC258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AC7F4D2"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5E2C84C4" w14:textId="77777777" w:rsidTr="00402545">
        <w:tc>
          <w:tcPr>
            <w:tcW w:w="4536" w:type="dxa"/>
            <w:vAlign w:val="center"/>
          </w:tcPr>
          <w:p w14:paraId="113AB926"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Lehké a kompaktní voděodolné sondy vybavené identifikátorem sloužící k určení, která sonda přenáší srdeční frekvenci </w:t>
            </w:r>
          </w:p>
        </w:tc>
        <w:tc>
          <w:tcPr>
            <w:tcW w:w="1276" w:type="dxa"/>
            <w:vAlign w:val="center"/>
          </w:tcPr>
          <w:p w14:paraId="14DDA03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1557A39D"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45A6A538" w14:textId="77777777" w:rsidTr="00402545">
        <w:tc>
          <w:tcPr>
            <w:tcW w:w="4536" w:type="dxa"/>
            <w:vAlign w:val="center"/>
          </w:tcPr>
          <w:p w14:paraId="6CEE3F06"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Možnost zadání pacientských dat, možnost vkládání předem definovaných poznámek do záznamu </w:t>
            </w:r>
          </w:p>
        </w:tc>
        <w:tc>
          <w:tcPr>
            <w:tcW w:w="1276" w:type="dxa"/>
            <w:vAlign w:val="center"/>
          </w:tcPr>
          <w:p w14:paraId="0AF4B1A2"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84F4F6B"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015EE7BF" w14:textId="77777777" w:rsidTr="00402545">
        <w:tc>
          <w:tcPr>
            <w:tcW w:w="4536" w:type="dxa"/>
            <w:vAlign w:val="center"/>
          </w:tcPr>
          <w:p w14:paraId="251D3E05"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Nastavitelné alarmy měřených parametrů včetně hlasitosti </w:t>
            </w:r>
          </w:p>
        </w:tc>
        <w:tc>
          <w:tcPr>
            <w:tcW w:w="1276" w:type="dxa"/>
            <w:vAlign w:val="center"/>
          </w:tcPr>
          <w:p w14:paraId="6DE11623"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F1B3220"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1F2AAFC2" w14:textId="77777777" w:rsidTr="00402545">
        <w:tc>
          <w:tcPr>
            <w:tcW w:w="4536" w:type="dxa"/>
            <w:vAlign w:val="center"/>
          </w:tcPr>
          <w:p w14:paraId="30ED3014"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Regulovatelná hlasitost ozev tepové frekvence plodů </w:t>
            </w:r>
          </w:p>
        </w:tc>
        <w:tc>
          <w:tcPr>
            <w:tcW w:w="1276" w:type="dxa"/>
            <w:vAlign w:val="center"/>
          </w:tcPr>
          <w:p w14:paraId="165A30C2"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1D0D380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5D08D7E3" w14:textId="77777777" w:rsidTr="00402545">
        <w:tc>
          <w:tcPr>
            <w:tcW w:w="4536" w:type="dxa"/>
            <w:vAlign w:val="center"/>
          </w:tcPr>
          <w:p w14:paraId="43A56D72"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Zapisovač: – tisk záznamu na termopapír, nastavitelná rychlost (1, 2, 3 cm/min.), nastavitelný časovač – záznamu </w:t>
            </w:r>
          </w:p>
        </w:tc>
        <w:tc>
          <w:tcPr>
            <w:tcW w:w="1276" w:type="dxa"/>
            <w:vAlign w:val="center"/>
          </w:tcPr>
          <w:p w14:paraId="3C6486F1"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7799A982"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4B4C32B7" w14:textId="77777777" w:rsidTr="00402545">
        <w:tc>
          <w:tcPr>
            <w:tcW w:w="4536" w:type="dxa"/>
            <w:vAlign w:val="center"/>
          </w:tcPr>
          <w:p w14:paraId="374EFC74"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Zápis do paměti – možnost dotisku v případě nedostatku papíru</w:t>
            </w:r>
          </w:p>
        </w:tc>
        <w:tc>
          <w:tcPr>
            <w:tcW w:w="1276" w:type="dxa"/>
            <w:vAlign w:val="center"/>
          </w:tcPr>
          <w:p w14:paraId="6C37B193"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2FA44086"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3E8CE8F2" w14:textId="77777777" w:rsidTr="00402545">
        <w:tc>
          <w:tcPr>
            <w:tcW w:w="4536" w:type="dxa"/>
            <w:vAlign w:val="center"/>
          </w:tcPr>
          <w:p w14:paraId="45426EBF"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Možnost přerušení tisku během snímání </w:t>
            </w:r>
          </w:p>
        </w:tc>
        <w:tc>
          <w:tcPr>
            <w:tcW w:w="1276" w:type="dxa"/>
            <w:vAlign w:val="center"/>
          </w:tcPr>
          <w:p w14:paraId="209F6E2E"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1F52978E"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2BC382C0" w14:textId="77777777" w:rsidTr="00402545">
        <w:tc>
          <w:tcPr>
            <w:tcW w:w="4536" w:type="dxa"/>
            <w:vAlign w:val="center"/>
          </w:tcPr>
          <w:p w14:paraId="3ED154E5" w14:textId="77777777" w:rsidR="000658D9" w:rsidRPr="00BE5F4E" w:rsidRDefault="00C30CA0"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M</w:t>
            </w:r>
            <w:r w:rsidR="00636C1B" w:rsidRPr="00BE5F4E">
              <w:rPr>
                <w:rFonts w:asciiTheme="minorHAnsi" w:hAnsiTheme="minorHAnsi" w:cstheme="minorHAnsi"/>
                <w:color w:val="auto"/>
                <w:sz w:val="22"/>
                <w:szCs w:val="22"/>
              </w:rPr>
              <w:t xml:space="preserve">ožnost </w:t>
            </w:r>
            <w:r w:rsidR="000658D9" w:rsidRPr="00BE5F4E">
              <w:rPr>
                <w:rFonts w:asciiTheme="minorHAnsi" w:hAnsiTheme="minorHAnsi" w:cstheme="minorHAnsi"/>
                <w:color w:val="auto"/>
                <w:sz w:val="22"/>
                <w:szCs w:val="22"/>
              </w:rPr>
              <w:t xml:space="preserve">připojení </w:t>
            </w:r>
            <w:r w:rsidR="00636C1B" w:rsidRPr="00BE5F4E">
              <w:rPr>
                <w:rFonts w:asciiTheme="minorHAnsi" w:hAnsiTheme="minorHAnsi" w:cstheme="minorHAnsi"/>
                <w:color w:val="auto"/>
                <w:sz w:val="22"/>
                <w:szCs w:val="22"/>
              </w:rPr>
              <w:t xml:space="preserve">ke stávajícímu telemetrickému </w:t>
            </w:r>
            <w:r w:rsidR="000658D9" w:rsidRPr="00BE5F4E">
              <w:rPr>
                <w:rFonts w:asciiTheme="minorHAnsi" w:hAnsiTheme="minorHAnsi" w:cstheme="minorHAnsi"/>
                <w:color w:val="auto"/>
                <w:sz w:val="22"/>
                <w:szCs w:val="22"/>
              </w:rPr>
              <w:t xml:space="preserve">monitorování </w:t>
            </w:r>
            <w:r w:rsidR="00636C1B" w:rsidRPr="00BE5F4E">
              <w:rPr>
                <w:rFonts w:asciiTheme="minorHAnsi" w:hAnsiTheme="minorHAnsi" w:cstheme="minorHAnsi"/>
                <w:color w:val="auto"/>
                <w:sz w:val="22"/>
                <w:szCs w:val="22"/>
              </w:rPr>
              <w:t>výrobce Philips</w:t>
            </w:r>
          </w:p>
        </w:tc>
        <w:tc>
          <w:tcPr>
            <w:tcW w:w="1276" w:type="dxa"/>
            <w:vAlign w:val="center"/>
          </w:tcPr>
          <w:p w14:paraId="7FB2ABE1"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0478DD0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703D1989" w14:textId="77777777" w:rsidTr="00402545">
        <w:tc>
          <w:tcPr>
            <w:tcW w:w="4536" w:type="dxa"/>
            <w:vAlign w:val="center"/>
          </w:tcPr>
          <w:p w14:paraId="067BBE3E" w14:textId="77777777" w:rsidR="000658D9" w:rsidRPr="00BE5F4E" w:rsidRDefault="00C30CA0"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Možnost</w:t>
            </w:r>
            <w:r w:rsidR="000658D9" w:rsidRPr="00BE5F4E">
              <w:rPr>
                <w:rFonts w:asciiTheme="minorHAnsi" w:hAnsiTheme="minorHAnsi" w:cstheme="minorHAnsi"/>
                <w:color w:val="auto"/>
                <w:sz w:val="22"/>
                <w:szCs w:val="22"/>
              </w:rPr>
              <w:t xml:space="preserve"> připojení</w:t>
            </w:r>
            <w:r w:rsidRPr="00BE5F4E">
              <w:rPr>
                <w:rFonts w:asciiTheme="minorHAnsi" w:hAnsiTheme="minorHAnsi" w:cstheme="minorHAnsi"/>
                <w:color w:val="auto"/>
                <w:sz w:val="22"/>
                <w:szCs w:val="22"/>
              </w:rPr>
              <w:t xml:space="preserve"> monitoru</w:t>
            </w:r>
            <w:r w:rsidR="000658D9" w:rsidRPr="00BE5F4E">
              <w:rPr>
                <w:rFonts w:asciiTheme="minorHAnsi" w:hAnsiTheme="minorHAnsi" w:cstheme="minorHAnsi"/>
                <w:color w:val="auto"/>
                <w:sz w:val="22"/>
                <w:szCs w:val="22"/>
              </w:rPr>
              <w:t xml:space="preserve"> do centrálního monitorovacího systému </w:t>
            </w:r>
          </w:p>
        </w:tc>
        <w:tc>
          <w:tcPr>
            <w:tcW w:w="1276" w:type="dxa"/>
            <w:vAlign w:val="center"/>
          </w:tcPr>
          <w:p w14:paraId="543E16BB"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CFAE557"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r w:rsidR="000658D9" w:rsidRPr="002476E6" w14:paraId="00FAACD4" w14:textId="77777777" w:rsidTr="00402545">
        <w:tc>
          <w:tcPr>
            <w:tcW w:w="4536" w:type="dxa"/>
            <w:vAlign w:val="center"/>
          </w:tcPr>
          <w:p w14:paraId="7309A25D" w14:textId="77777777" w:rsidR="000658D9" w:rsidRPr="00BE5F4E" w:rsidRDefault="000658D9" w:rsidP="000658D9">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Vozík se zásuvkami </w:t>
            </w:r>
          </w:p>
        </w:tc>
        <w:tc>
          <w:tcPr>
            <w:tcW w:w="1276" w:type="dxa"/>
            <w:vAlign w:val="center"/>
          </w:tcPr>
          <w:p w14:paraId="53A6C4E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c>
          <w:tcPr>
            <w:tcW w:w="3821" w:type="dxa"/>
            <w:vAlign w:val="center"/>
          </w:tcPr>
          <w:p w14:paraId="3FDC4974" w14:textId="77777777" w:rsidR="000658D9" w:rsidRPr="00BE5F4E" w:rsidRDefault="000658D9" w:rsidP="000658D9">
            <w:pPr>
              <w:jc w:val="center"/>
              <w:rPr>
                <w:sz w:val="22"/>
                <w:szCs w:val="22"/>
              </w:rPr>
            </w:pPr>
            <w:r w:rsidRPr="00BE5F4E">
              <w:rPr>
                <w:rFonts w:ascii="Calibri" w:hAnsi="Calibri" w:cs="Calibri"/>
                <w:color w:val="FF0000"/>
                <w:sz w:val="22"/>
                <w:szCs w:val="22"/>
              </w:rPr>
              <w:t>(doplní dodavatel)</w:t>
            </w:r>
          </w:p>
        </w:tc>
      </w:tr>
    </w:tbl>
    <w:p w14:paraId="2BC4F1A5" w14:textId="05ACD7C4" w:rsidR="00FF52A3" w:rsidRDefault="00FF52A3" w:rsidP="00FF52A3">
      <w:pPr>
        <w:rPr>
          <w:lang w:eastAsia="en-US"/>
        </w:rPr>
      </w:pPr>
    </w:p>
    <w:p w14:paraId="52DE1D58" w14:textId="2E189A14" w:rsidR="00402545" w:rsidRDefault="00402545" w:rsidP="00FF52A3">
      <w:pPr>
        <w:rPr>
          <w:lang w:eastAsia="en-US"/>
        </w:rPr>
      </w:pPr>
    </w:p>
    <w:p w14:paraId="00DBB455" w14:textId="07A1C3CD" w:rsidR="00402545" w:rsidRDefault="00402545" w:rsidP="00FF52A3">
      <w:pPr>
        <w:rPr>
          <w:lang w:eastAsia="en-US"/>
        </w:rPr>
      </w:pPr>
    </w:p>
    <w:p w14:paraId="63E13550" w14:textId="77777777" w:rsidR="00402545" w:rsidRDefault="00402545" w:rsidP="00FF52A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85A35" w:rsidRPr="00654188" w14:paraId="0047C68C" w14:textId="77777777" w:rsidTr="00402545">
        <w:trPr>
          <w:trHeight w:val="387"/>
          <w:tblHeader/>
        </w:trPr>
        <w:tc>
          <w:tcPr>
            <w:tcW w:w="4536" w:type="dxa"/>
            <w:shd w:val="clear" w:color="auto" w:fill="F4B8E7"/>
            <w:vAlign w:val="center"/>
          </w:tcPr>
          <w:p w14:paraId="3D771C5C" w14:textId="77777777" w:rsidR="00B85A35" w:rsidRPr="00393D63" w:rsidRDefault="00B85A35" w:rsidP="009B4EC5">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F4B8E7"/>
            <w:vAlign w:val="center"/>
          </w:tcPr>
          <w:p w14:paraId="1D87DD76" w14:textId="60E3291B" w:rsidR="00B85A35" w:rsidRPr="00393D63" w:rsidRDefault="00402545" w:rsidP="009B4EC5">
            <w:pPr>
              <w:autoSpaceDE w:val="0"/>
              <w:autoSpaceDN w:val="0"/>
              <w:adjustRightInd w:val="0"/>
              <w:rPr>
                <w:rFonts w:asciiTheme="minorHAnsi" w:hAnsiTheme="minorHAnsi"/>
                <w:b/>
                <w:bCs/>
                <w:sz w:val="28"/>
                <w:szCs w:val="28"/>
              </w:rPr>
            </w:pPr>
            <w:r w:rsidRPr="00402545">
              <w:rPr>
                <w:rFonts w:ascii="Calibri" w:hAnsi="Calibri" w:cs="Arial"/>
                <w:b/>
                <w:sz w:val="28"/>
                <w:szCs w:val="28"/>
              </w:rPr>
              <w:t>Fetální monitor – KTG pro Pardubickou nemocnici</w:t>
            </w:r>
          </w:p>
        </w:tc>
      </w:tr>
      <w:tr w:rsidR="00B85A35" w:rsidRPr="00654188" w14:paraId="7000E3A7" w14:textId="77777777" w:rsidTr="009B4EC5">
        <w:trPr>
          <w:tblHeader/>
        </w:trPr>
        <w:tc>
          <w:tcPr>
            <w:tcW w:w="4536" w:type="dxa"/>
            <w:shd w:val="clear" w:color="auto" w:fill="F7CAAC" w:themeFill="accent2" w:themeFillTint="66"/>
          </w:tcPr>
          <w:p w14:paraId="5C9891B2" w14:textId="77777777" w:rsidR="00B85A35" w:rsidRPr="000B3193" w:rsidRDefault="00B85A35" w:rsidP="009B4EC5">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41A3347" w14:textId="77777777" w:rsidR="00B85A35" w:rsidRPr="00600F8C" w:rsidRDefault="00B85A35" w:rsidP="009B4EC5">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C2E1C4F" w14:textId="77777777" w:rsidR="00B85A35" w:rsidRPr="00600F8C" w:rsidRDefault="00B85A35" w:rsidP="009B4EC5">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85A35" w:rsidRPr="00C10A7D" w14:paraId="13FD172E" w14:textId="77777777" w:rsidTr="00402545">
        <w:tc>
          <w:tcPr>
            <w:tcW w:w="4536" w:type="dxa"/>
            <w:vAlign w:val="center"/>
          </w:tcPr>
          <w:p w14:paraId="6D2A7F84" w14:textId="77777777" w:rsidR="00B85A35" w:rsidRPr="00BE5F4E" w:rsidRDefault="00B85A35" w:rsidP="009B4EC5">
            <w:pPr>
              <w:rPr>
                <w:sz w:val="22"/>
                <w:szCs w:val="22"/>
              </w:rPr>
            </w:pPr>
            <w:r w:rsidRPr="00BE5F4E">
              <w:rPr>
                <w:rFonts w:asciiTheme="minorHAnsi" w:hAnsiTheme="minorHAnsi" w:cstheme="minorHAnsi"/>
                <w:sz w:val="22"/>
                <w:szCs w:val="22"/>
              </w:rPr>
              <w:t xml:space="preserve">Lehký a kompaktní </w:t>
            </w:r>
            <w:proofErr w:type="spellStart"/>
            <w:r w:rsidRPr="00BE5F4E">
              <w:rPr>
                <w:rFonts w:asciiTheme="minorHAnsi" w:hAnsiTheme="minorHAnsi" w:cstheme="minorHAnsi"/>
                <w:sz w:val="22"/>
                <w:szCs w:val="22"/>
              </w:rPr>
              <w:t>intrapartální</w:t>
            </w:r>
            <w:proofErr w:type="spellEnd"/>
            <w:r w:rsidRPr="00BE5F4E">
              <w:rPr>
                <w:rFonts w:asciiTheme="minorHAnsi" w:hAnsiTheme="minorHAnsi" w:cstheme="minorHAnsi"/>
                <w:sz w:val="22"/>
                <w:szCs w:val="22"/>
              </w:rPr>
              <w:t xml:space="preserve"> fetální monitor</w:t>
            </w:r>
          </w:p>
        </w:tc>
        <w:tc>
          <w:tcPr>
            <w:tcW w:w="1276" w:type="dxa"/>
            <w:vAlign w:val="center"/>
          </w:tcPr>
          <w:p w14:paraId="126AE2EB"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98FFD81"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C10A7D" w14:paraId="489DF0CF" w14:textId="77777777" w:rsidTr="00402545">
        <w:tc>
          <w:tcPr>
            <w:tcW w:w="4536" w:type="dxa"/>
            <w:vAlign w:val="center"/>
          </w:tcPr>
          <w:p w14:paraId="6F6F06F7" w14:textId="77777777" w:rsidR="00B85A35" w:rsidRPr="00BE5F4E" w:rsidRDefault="00B85A35" w:rsidP="009B4EC5">
            <w:pPr>
              <w:rPr>
                <w:sz w:val="22"/>
                <w:szCs w:val="22"/>
              </w:rPr>
            </w:pPr>
            <w:r w:rsidRPr="00BE5F4E">
              <w:rPr>
                <w:rFonts w:asciiTheme="minorHAnsi" w:hAnsiTheme="minorHAnsi" w:cstheme="minorHAnsi"/>
                <w:sz w:val="22"/>
                <w:szCs w:val="22"/>
              </w:rPr>
              <w:t>Min. 6,5“ LCD displej s dotykovým ovládáním – možnost polohování</w:t>
            </w:r>
          </w:p>
        </w:tc>
        <w:tc>
          <w:tcPr>
            <w:tcW w:w="1276" w:type="dxa"/>
            <w:vAlign w:val="center"/>
          </w:tcPr>
          <w:p w14:paraId="116B27F8"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56E920D8"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C10A7D" w14:paraId="7C0CC9DA" w14:textId="77777777" w:rsidTr="00402545">
        <w:tc>
          <w:tcPr>
            <w:tcW w:w="4536" w:type="dxa"/>
            <w:vAlign w:val="center"/>
          </w:tcPr>
          <w:p w14:paraId="6E2C1614" w14:textId="77777777" w:rsidR="00B85A35" w:rsidRPr="00BE5F4E" w:rsidRDefault="00B85A35" w:rsidP="009B4EC5">
            <w:pPr>
              <w:spacing w:after="240"/>
              <w:rPr>
                <w:rFonts w:ascii="Tahoma" w:hAnsi="Tahoma" w:cs="Tahoma"/>
                <w:sz w:val="22"/>
                <w:szCs w:val="22"/>
              </w:rPr>
            </w:pPr>
            <w:r w:rsidRPr="00BE5F4E">
              <w:rPr>
                <w:rFonts w:asciiTheme="minorHAnsi" w:hAnsiTheme="minorHAnsi" w:cstheme="minorHAnsi"/>
                <w:sz w:val="22"/>
                <w:szCs w:val="22"/>
              </w:rPr>
              <w:t>Ovládání v českém jazyce</w:t>
            </w:r>
          </w:p>
        </w:tc>
        <w:tc>
          <w:tcPr>
            <w:tcW w:w="1276" w:type="dxa"/>
            <w:vAlign w:val="center"/>
          </w:tcPr>
          <w:p w14:paraId="2C57F826"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45D79F73"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C10A7D" w14:paraId="193967E4" w14:textId="77777777" w:rsidTr="00402545">
        <w:tc>
          <w:tcPr>
            <w:tcW w:w="4536" w:type="dxa"/>
            <w:vAlign w:val="center"/>
          </w:tcPr>
          <w:p w14:paraId="11A8B08D" w14:textId="77777777" w:rsidR="00B85A35" w:rsidRPr="00BE5F4E" w:rsidRDefault="00B85A35" w:rsidP="009B4EC5">
            <w:pPr>
              <w:spacing w:before="100" w:beforeAutospacing="1" w:after="100" w:afterAutospacing="1"/>
              <w:rPr>
                <w:sz w:val="22"/>
                <w:szCs w:val="22"/>
              </w:rPr>
            </w:pPr>
            <w:r w:rsidRPr="00BE5F4E">
              <w:rPr>
                <w:rFonts w:asciiTheme="minorHAnsi" w:hAnsiTheme="minorHAnsi" w:cstheme="minorHAnsi"/>
                <w:sz w:val="22"/>
                <w:szCs w:val="22"/>
              </w:rPr>
              <w:t>Snímání srdeční frekvence plodu – US sondou</w:t>
            </w:r>
          </w:p>
        </w:tc>
        <w:tc>
          <w:tcPr>
            <w:tcW w:w="1276" w:type="dxa"/>
            <w:vAlign w:val="center"/>
          </w:tcPr>
          <w:p w14:paraId="0F89CA8C"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342C0E9D"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2476E6" w14:paraId="756A39C5" w14:textId="77777777" w:rsidTr="00402545">
        <w:tc>
          <w:tcPr>
            <w:tcW w:w="4536" w:type="dxa"/>
            <w:vAlign w:val="center"/>
          </w:tcPr>
          <w:p w14:paraId="4A535AE9" w14:textId="77777777" w:rsidR="00B85A35" w:rsidRPr="00BE5F4E" w:rsidRDefault="00B85A35" w:rsidP="009B4EC5">
            <w:pPr>
              <w:spacing w:before="100" w:beforeAutospacing="1" w:after="100" w:afterAutospacing="1"/>
              <w:rPr>
                <w:sz w:val="22"/>
                <w:szCs w:val="22"/>
              </w:rPr>
            </w:pPr>
            <w:r w:rsidRPr="00BE5F4E">
              <w:rPr>
                <w:rFonts w:asciiTheme="minorHAnsi" w:hAnsiTheme="minorHAnsi" w:cstheme="minorHAnsi"/>
                <w:sz w:val="22"/>
                <w:szCs w:val="22"/>
              </w:rPr>
              <w:t>Monitorování děložních stahů – TOCO sonda</w:t>
            </w:r>
          </w:p>
        </w:tc>
        <w:tc>
          <w:tcPr>
            <w:tcW w:w="1276" w:type="dxa"/>
            <w:vAlign w:val="center"/>
          </w:tcPr>
          <w:p w14:paraId="7AD3889D"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202CE56D"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2476E6" w14:paraId="0F54D3AB" w14:textId="77777777" w:rsidTr="00402545">
        <w:tc>
          <w:tcPr>
            <w:tcW w:w="4536" w:type="dxa"/>
            <w:vAlign w:val="center"/>
          </w:tcPr>
          <w:p w14:paraId="07373D18"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Monitorování srdeční frekvence plodu </w:t>
            </w:r>
          </w:p>
        </w:tc>
        <w:tc>
          <w:tcPr>
            <w:tcW w:w="1276" w:type="dxa"/>
            <w:vAlign w:val="center"/>
          </w:tcPr>
          <w:p w14:paraId="6D2F8560"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531CB4E7"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2476E6" w14:paraId="066BEA3C" w14:textId="77777777" w:rsidTr="00402545">
        <w:tc>
          <w:tcPr>
            <w:tcW w:w="4536" w:type="dxa"/>
            <w:vAlign w:val="center"/>
          </w:tcPr>
          <w:p w14:paraId="4449011E"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SW pro snímání dvojčat v základní výbavě – aktivace připojením druhé US sondy </w:t>
            </w:r>
          </w:p>
        </w:tc>
        <w:tc>
          <w:tcPr>
            <w:tcW w:w="1276" w:type="dxa"/>
            <w:vAlign w:val="center"/>
          </w:tcPr>
          <w:p w14:paraId="3FBCA601"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4339407E"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2476E6" w14:paraId="49189736" w14:textId="77777777" w:rsidTr="00402545">
        <w:tc>
          <w:tcPr>
            <w:tcW w:w="4536" w:type="dxa"/>
            <w:vAlign w:val="center"/>
          </w:tcPr>
          <w:p w14:paraId="7505A5B5"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Puls matky snímaný z TOCO sondy v rozsahu 40-240 tepů za minutu </w:t>
            </w:r>
          </w:p>
        </w:tc>
        <w:tc>
          <w:tcPr>
            <w:tcW w:w="1276" w:type="dxa"/>
            <w:vAlign w:val="center"/>
          </w:tcPr>
          <w:p w14:paraId="74B30D82"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c>
          <w:tcPr>
            <w:tcW w:w="3821" w:type="dxa"/>
            <w:vAlign w:val="center"/>
          </w:tcPr>
          <w:p w14:paraId="141A1EB4" w14:textId="77777777" w:rsidR="00B85A35" w:rsidRPr="00BE5F4E" w:rsidRDefault="00B85A35" w:rsidP="009B4EC5">
            <w:pPr>
              <w:jc w:val="center"/>
              <w:rPr>
                <w:rFonts w:ascii="Calibri" w:hAnsi="Calibri" w:cs="Calibri"/>
                <w:color w:val="FF0000"/>
                <w:sz w:val="22"/>
                <w:szCs w:val="22"/>
              </w:rPr>
            </w:pPr>
            <w:r w:rsidRPr="00BE5F4E">
              <w:rPr>
                <w:rFonts w:ascii="Calibri" w:hAnsi="Calibri" w:cs="Calibri"/>
                <w:color w:val="FF0000"/>
                <w:sz w:val="22"/>
                <w:szCs w:val="22"/>
              </w:rPr>
              <w:t>(doplní dodavatel)</w:t>
            </w:r>
          </w:p>
        </w:tc>
      </w:tr>
      <w:tr w:rsidR="00B85A35" w:rsidRPr="002476E6" w14:paraId="4BAC5357" w14:textId="77777777" w:rsidTr="00402545">
        <w:tc>
          <w:tcPr>
            <w:tcW w:w="4536" w:type="dxa"/>
            <w:vAlign w:val="center"/>
          </w:tcPr>
          <w:p w14:paraId="4F6DD8D2"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Rozsah měření srdeční frekvence plodu US sondou: 50-240 tepů za minutu</w:t>
            </w:r>
          </w:p>
        </w:tc>
        <w:tc>
          <w:tcPr>
            <w:tcW w:w="1276" w:type="dxa"/>
            <w:vAlign w:val="center"/>
          </w:tcPr>
          <w:p w14:paraId="4423C0D6"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2AA9B5B3"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18A48251" w14:textId="77777777" w:rsidTr="00402545">
        <w:tc>
          <w:tcPr>
            <w:tcW w:w="4536" w:type="dxa"/>
            <w:vAlign w:val="center"/>
          </w:tcPr>
          <w:p w14:paraId="2D061D1A"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Automatická detekce pohybu plodů </w:t>
            </w:r>
          </w:p>
        </w:tc>
        <w:tc>
          <w:tcPr>
            <w:tcW w:w="1276" w:type="dxa"/>
            <w:vAlign w:val="center"/>
          </w:tcPr>
          <w:p w14:paraId="5E9748E2"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CD3E928"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6933B8E3" w14:textId="77777777" w:rsidTr="00402545">
        <w:tc>
          <w:tcPr>
            <w:tcW w:w="4536" w:type="dxa"/>
            <w:vAlign w:val="center"/>
          </w:tcPr>
          <w:p w14:paraId="7A282EB8"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Verifikace kanálů mezi plody a mezi matkou a plody </w:t>
            </w:r>
          </w:p>
        </w:tc>
        <w:tc>
          <w:tcPr>
            <w:tcW w:w="1276" w:type="dxa"/>
            <w:vAlign w:val="center"/>
          </w:tcPr>
          <w:p w14:paraId="72954C1E"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495FDBA"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67F0967E" w14:textId="77777777" w:rsidTr="00402545">
        <w:tc>
          <w:tcPr>
            <w:tcW w:w="4536" w:type="dxa"/>
            <w:vAlign w:val="center"/>
          </w:tcPr>
          <w:p w14:paraId="0048C106"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Lehké a kompaktní voděodolné sondy vybavené identifikátorem sloužící k určení, která sonda přenáší srdeční frekvenci </w:t>
            </w:r>
          </w:p>
        </w:tc>
        <w:tc>
          <w:tcPr>
            <w:tcW w:w="1276" w:type="dxa"/>
            <w:vAlign w:val="center"/>
          </w:tcPr>
          <w:p w14:paraId="0221AD85"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10A6C7B"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14F76B69" w14:textId="77777777" w:rsidTr="00402545">
        <w:tc>
          <w:tcPr>
            <w:tcW w:w="4536" w:type="dxa"/>
            <w:vAlign w:val="center"/>
          </w:tcPr>
          <w:p w14:paraId="13CA484D"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Možnost zadání pacientských dat, možnost vkládání předem definovaných poznámek do záznamu </w:t>
            </w:r>
          </w:p>
        </w:tc>
        <w:tc>
          <w:tcPr>
            <w:tcW w:w="1276" w:type="dxa"/>
            <w:vAlign w:val="center"/>
          </w:tcPr>
          <w:p w14:paraId="5244745C"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2730C4B7"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4CD47EF4" w14:textId="77777777" w:rsidTr="00402545">
        <w:tc>
          <w:tcPr>
            <w:tcW w:w="4536" w:type="dxa"/>
            <w:vAlign w:val="center"/>
          </w:tcPr>
          <w:p w14:paraId="72E06732"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Nastavitelné alarmy měřených parametrů včetně hlasitosti </w:t>
            </w:r>
          </w:p>
        </w:tc>
        <w:tc>
          <w:tcPr>
            <w:tcW w:w="1276" w:type="dxa"/>
            <w:vAlign w:val="center"/>
          </w:tcPr>
          <w:p w14:paraId="25E3D104"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2FD65701"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01FBC60B" w14:textId="77777777" w:rsidTr="00402545">
        <w:tc>
          <w:tcPr>
            <w:tcW w:w="4536" w:type="dxa"/>
            <w:vAlign w:val="center"/>
          </w:tcPr>
          <w:p w14:paraId="0F173C52"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Regulovatelná hlasitost ozev tepové frekvence plodů </w:t>
            </w:r>
          </w:p>
        </w:tc>
        <w:tc>
          <w:tcPr>
            <w:tcW w:w="1276" w:type="dxa"/>
            <w:vAlign w:val="center"/>
          </w:tcPr>
          <w:p w14:paraId="0971DBED"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700EC72C"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0D04EF0D" w14:textId="77777777" w:rsidTr="00402545">
        <w:tc>
          <w:tcPr>
            <w:tcW w:w="4536" w:type="dxa"/>
            <w:vAlign w:val="center"/>
          </w:tcPr>
          <w:p w14:paraId="32E94C91"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Zapisovač: – tisk záznamu na termopapír, nastavitelná rychlost (1, 2, 3 cm/min.), nastavitelný časovač – záznamu </w:t>
            </w:r>
          </w:p>
        </w:tc>
        <w:tc>
          <w:tcPr>
            <w:tcW w:w="1276" w:type="dxa"/>
            <w:vAlign w:val="center"/>
          </w:tcPr>
          <w:p w14:paraId="3B2B35D6"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03BD3773"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646D8C61" w14:textId="77777777" w:rsidTr="00402545">
        <w:tc>
          <w:tcPr>
            <w:tcW w:w="4536" w:type="dxa"/>
            <w:vAlign w:val="center"/>
          </w:tcPr>
          <w:p w14:paraId="11538903"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Zápis do paměti – možnost dotisku v případě nedostatku papíru</w:t>
            </w:r>
          </w:p>
        </w:tc>
        <w:tc>
          <w:tcPr>
            <w:tcW w:w="1276" w:type="dxa"/>
            <w:vAlign w:val="center"/>
          </w:tcPr>
          <w:p w14:paraId="4CBBEFE9"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0EFA3D8"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2A9B625E" w14:textId="77777777" w:rsidTr="00402545">
        <w:tc>
          <w:tcPr>
            <w:tcW w:w="4536" w:type="dxa"/>
            <w:vAlign w:val="center"/>
          </w:tcPr>
          <w:p w14:paraId="59AF4931"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 xml:space="preserve">Možnost přerušení tisku během snímání </w:t>
            </w:r>
          </w:p>
        </w:tc>
        <w:tc>
          <w:tcPr>
            <w:tcW w:w="1276" w:type="dxa"/>
            <w:vAlign w:val="center"/>
          </w:tcPr>
          <w:p w14:paraId="3497C27B"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3D0CAED1"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1D0BB6AB" w14:textId="77777777" w:rsidTr="00402545">
        <w:tc>
          <w:tcPr>
            <w:tcW w:w="4536" w:type="dxa"/>
            <w:vAlign w:val="center"/>
          </w:tcPr>
          <w:p w14:paraId="26196CD8" w14:textId="77777777" w:rsidR="00B85A35" w:rsidRPr="00BE5F4E" w:rsidRDefault="00636C1B"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Možnost připojení ke stávajícímu telemetrickému monitorování výrobce Philips</w:t>
            </w:r>
          </w:p>
        </w:tc>
        <w:tc>
          <w:tcPr>
            <w:tcW w:w="1276" w:type="dxa"/>
            <w:vAlign w:val="center"/>
          </w:tcPr>
          <w:p w14:paraId="387152E4"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E85C60C"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53981F46" w14:textId="77777777" w:rsidTr="00402545">
        <w:tc>
          <w:tcPr>
            <w:tcW w:w="4536" w:type="dxa"/>
            <w:vAlign w:val="center"/>
          </w:tcPr>
          <w:p w14:paraId="656B7EC8" w14:textId="77777777" w:rsidR="00B85A35" w:rsidRPr="00BE5F4E" w:rsidRDefault="00636C1B"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t>M</w:t>
            </w:r>
            <w:r w:rsidR="00B85A35" w:rsidRPr="00BE5F4E">
              <w:rPr>
                <w:rFonts w:asciiTheme="minorHAnsi" w:hAnsiTheme="minorHAnsi" w:cstheme="minorHAnsi"/>
                <w:color w:val="auto"/>
                <w:sz w:val="22"/>
                <w:szCs w:val="22"/>
              </w:rPr>
              <w:t xml:space="preserve">ožnost připojení monitoru do centrálního monitorovacího systému </w:t>
            </w:r>
            <w:r w:rsidR="00C46ACF" w:rsidRPr="00BE5F4E">
              <w:rPr>
                <w:rFonts w:asciiTheme="minorHAnsi" w:hAnsiTheme="minorHAnsi" w:cstheme="minorHAnsi"/>
                <w:color w:val="auto"/>
                <w:sz w:val="22"/>
                <w:szCs w:val="22"/>
              </w:rPr>
              <w:t>Phillips umístěného na pracovišti</w:t>
            </w:r>
          </w:p>
        </w:tc>
        <w:tc>
          <w:tcPr>
            <w:tcW w:w="1276" w:type="dxa"/>
            <w:vAlign w:val="center"/>
          </w:tcPr>
          <w:p w14:paraId="67EBB57E"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589E7FC2"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r w:rsidR="00B85A35" w:rsidRPr="002476E6" w14:paraId="3C159880" w14:textId="77777777" w:rsidTr="00402545">
        <w:tc>
          <w:tcPr>
            <w:tcW w:w="4536" w:type="dxa"/>
            <w:vAlign w:val="center"/>
          </w:tcPr>
          <w:p w14:paraId="0DF4AC8E" w14:textId="77777777" w:rsidR="00B85A35" w:rsidRPr="00BE5F4E" w:rsidRDefault="00B85A35" w:rsidP="009B4EC5">
            <w:pPr>
              <w:pStyle w:val="Default"/>
              <w:rPr>
                <w:rFonts w:asciiTheme="minorHAnsi" w:hAnsiTheme="minorHAnsi" w:cstheme="minorHAnsi"/>
                <w:color w:val="auto"/>
                <w:sz w:val="22"/>
                <w:szCs w:val="22"/>
              </w:rPr>
            </w:pPr>
            <w:r w:rsidRPr="00BE5F4E">
              <w:rPr>
                <w:rFonts w:asciiTheme="minorHAnsi" w:hAnsiTheme="minorHAnsi" w:cstheme="minorHAnsi"/>
                <w:color w:val="auto"/>
                <w:sz w:val="22"/>
                <w:szCs w:val="22"/>
              </w:rPr>
              <w:lastRenderedPageBreak/>
              <w:t xml:space="preserve">Vozík se zásuvkami </w:t>
            </w:r>
          </w:p>
        </w:tc>
        <w:tc>
          <w:tcPr>
            <w:tcW w:w="1276" w:type="dxa"/>
            <w:vAlign w:val="center"/>
          </w:tcPr>
          <w:p w14:paraId="7E8C7B2E"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c>
          <w:tcPr>
            <w:tcW w:w="3821" w:type="dxa"/>
            <w:vAlign w:val="center"/>
          </w:tcPr>
          <w:p w14:paraId="6E5E8B5E" w14:textId="77777777" w:rsidR="00B85A35" w:rsidRPr="00BE5F4E" w:rsidRDefault="00B85A35" w:rsidP="009B4EC5">
            <w:pPr>
              <w:jc w:val="center"/>
              <w:rPr>
                <w:sz w:val="22"/>
                <w:szCs w:val="22"/>
              </w:rPr>
            </w:pPr>
            <w:r w:rsidRPr="00BE5F4E">
              <w:rPr>
                <w:rFonts w:ascii="Calibri" w:hAnsi="Calibri" w:cs="Calibri"/>
                <w:color w:val="FF0000"/>
                <w:sz w:val="22"/>
                <w:szCs w:val="22"/>
              </w:rPr>
              <w:t>(doplní dodavatel)</w:t>
            </w:r>
          </w:p>
        </w:tc>
      </w:tr>
    </w:tbl>
    <w:p w14:paraId="39C081D1" w14:textId="77777777" w:rsidR="003C4256" w:rsidRPr="00DC2021" w:rsidRDefault="003C4256" w:rsidP="003C4256">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294108C4" w14:textId="51C718FD" w:rsidR="00FF52A3" w:rsidRDefault="00FF52A3" w:rsidP="00FF52A3">
      <w:pPr>
        <w:rPr>
          <w:lang w:eastAsia="en-US"/>
        </w:rPr>
      </w:pPr>
    </w:p>
    <w:p w14:paraId="5E1678AD" w14:textId="77777777" w:rsidR="00402545" w:rsidRDefault="00402545" w:rsidP="00FF52A3">
      <w:pPr>
        <w:rPr>
          <w:lang w:eastAsia="en-US"/>
        </w:rPr>
      </w:pPr>
    </w:p>
    <w:p w14:paraId="3EFA18E0" w14:textId="77777777" w:rsidR="00E81121" w:rsidRDefault="00E81121" w:rsidP="00E81121">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81121" w:rsidRPr="002476E6" w14:paraId="0A390276" w14:textId="77777777" w:rsidTr="00B65435">
        <w:trPr>
          <w:jc w:val="center"/>
        </w:trPr>
        <w:tc>
          <w:tcPr>
            <w:tcW w:w="7797" w:type="dxa"/>
            <w:shd w:val="clear" w:color="auto" w:fill="F7CAAC" w:themeFill="accent2" w:themeFillTint="66"/>
          </w:tcPr>
          <w:p w14:paraId="1B9922C4"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p>
          <w:p w14:paraId="5CD7876D"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r>
              <w:rPr>
                <w:rFonts w:eastAsia="Times New Roman" w:cs="Times New Roman"/>
                <w:lang w:eastAsia="cs-CZ"/>
              </w:rPr>
              <w:t>ICT</w:t>
            </w:r>
            <w:r w:rsidRPr="002476E6">
              <w:rPr>
                <w:rFonts w:eastAsia="Times New Roman" w:cs="Times New Roman"/>
                <w:lang w:eastAsia="cs-CZ"/>
              </w:rPr>
              <w:t xml:space="preserve"> podmínky a požadavky</w:t>
            </w:r>
          </w:p>
        </w:tc>
        <w:tc>
          <w:tcPr>
            <w:tcW w:w="1842" w:type="dxa"/>
            <w:shd w:val="clear" w:color="auto" w:fill="F7CAAC" w:themeFill="accent2" w:themeFillTint="66"/>
          </w:tcPr>
          <w:p w14:paraId="537352B6" w14:textId="77777777" w:rsidR="00E81121" w:rsidRPr="002476E6" w:rsidRDefault="00E81121"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81121" w:rsidRPr="002476E6" w14:paraId="077AA7B2" w14:textId="77777777" w:rsidTr="009B4EED">
        <w:trPr>
          <w:jc w:val="center"/>
        </w:trPr>
        <w:tc>
          <w:tcPr>
            <w:tcW w:w="7797" w:type="dxa"/>
            <w:vAlign w:val="center"/>
          </w:tcPr>
          <w:p w14:paraId="48202363" w14:textId="77777777" w:rsidR="00E81121" w:rsidRPr="00D87CB8"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 xml:space="preserve">Dodavatel bude bez výhradně akceptovat podmínky </w:t>
            </w:r>
            <w:proofErr w:type="spellStart"/>
            <w:r w:rsidRPr="00D87CB8">
              <w:rPr>
                <w:rFonts w:ascii="Calibri" w:hAnsi="Calibri" w:cs="Calibri"/>
                <w:sz w:val="22"/>
                <w:szCs w:val="22"/>
              </w:rPr>
              <w:t>Cyber</w:t>
            </w:r>
            <w:proofErr w:type="spellEnd"/>
            <w:r w:rsidRPr="00D87CB8">
              <w:rPr>
                <w:rFonts w:ascii="Calibri" w:hAnsi="Calibri" w:cs="Calibri"/>
                <w:sz w:val="22"/>
                <w:szCs w:val="22"/>
              </w:rPr>
              <w:t xml:space="preserve"> </w:t>
            </w:r>
            <w:proofErr w:type="spellStart"/>
            <w:r w:rsidRPr="00D87CB8">
              <w:rPr>
                <w:rFonts w:ascii="Calibri" w:hAnsi="Calibri" w:cs="Calibri"/>
                <w:sz w:val="22"/>
                <w:szCs w:val="22"/>
              </w:rPr>
              <w:t>Security</w:t>
            </w:r>
            <w:proofErr w:type="spellEnd"/>
            <w:r w:rsidRPr="00D87CB8">
              <w:rPr>
                <w:rFonts w:ascii="Calibri" w:hAnsi="Calibri" w:cs="Calibri"/>
                <w:sz w:val="22"/>
                <w:szCs w:val="22"/>
              </w:rPr>
              <w:t xml:space="preserve"> NEMPK a.s.</w:t>
            </w:r>
          </w:p>
        </w:tc>
        <w:tc>
          <w:tcPr>
            <w:tcW w:w="1842" w:type="dxa"/>
            <w:vAlign w:val="center"/>
          </w:tcPr>
          <w:p w14:paraId="13FA617D" w14:textId="77777777" w:rsidR="00E81121" w:rsidRDefault="00E81121" w:rsidP="00811894">
            <w:r w:rsidRPr="00681800">
              <w:rPr>
                <w:rFonts w:ascii="Calibri" w:hAnsi="Calibri" w:cs="Calibri"/>
                <w:color w:val="FF0000"/>
                <w:szCs w:val="20"/>
              </w:rPr>
              <w:t>(doplní dodavatel)</w:t>
            </w:r>
          </w:p>
        </w:tc>
      </w:tr>
      <w:tr w:rsidR="00E81121" w:rsidRPr="002476E6" w14:paraId="694363AD" w14:textId="77777777" w:rsidTr="009B4EED">
        <w:trPr>
          <w:jc w:val="center"/>
        </w:trPr>
        <w:tc>
          <w:tcPr>
            <w:tcW w:w="7797" w:type="dxa"/>
            <w:vAlign w:val="center"/>
          </w:tcPr>
          <w:p w14:paraId="077FFC62"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 xml:space="preserve">Kompletní licenční model (včetně DICOM, </w:t>
            </w:r>
            <w:proofErr w:type="gramStart"/>
            <w:r w:rsidRPr="00D87CB8">
              <w:rPr>
                <w:rFonts w:ascii="Calibri" w:hAnsi="Calibri" w:cs="Calibri"/>
                <w:sz w:val="22"/>
                <w:szCs w:val="22"/>
              </w:rPr>
              <w:t>HL7,</w:t>
            </w:r>
            <w:proofErr w:type="gramEnd"/>
            <w:r w:rsidRPr="00D87CB8">
              <w:rPr>
                <w:rFonts w:ascii="Calibri" w:hAnsi="Calibri" w:cs="Calibri"/>
                <w:sz w:val="22"/>
                <w:szCs w:val="22"/>
              </w:rPr>
              <w:t xml:space="preserve"> atd.)</w:t>
            </w:r>
          </w:p>
        </w:tc>
        <w:tc>
          <w:tcPr>
            <w:tcW w:w="1842" w:type="dxa"/>
            <w:vAlign w:val="center"/>
          </w:tcPr>
          <w:p w14:paraId="5401EF3A" w14:textId="77777777" w:rsidR="00E81121" w:rsidRDefault="00E81121" w:rsidP="00811894">
            <w:r w:rsidRPr="00681800">
              <w:rPr>
                <w:rFonts w:ascii="Calibri" w:hAnsi="Calibri" w:cs="Calibri"/>
                <w:color w:val="FF0000"/>
                <w:szCs w:val="20"/>
              </w:rPr>
              <w:t>(doplní dodavatel)</w:t>
            </w:r>
          </w:p>
        </w:tc>
      </w:tr>
      <w:tr w:rsidR="00E81121" w:rsidRPr="002476E6" w14:paraId="56DB38C3" w14:textId="77777777" w:rsidTr="009B4EED">
        <w:trPr>
          <w:jc w:val="center"/>
        </w:trPr>
        <w:tc>
          <w:tcPr>
            <w:tcW w:w="7797" w:type="dxa"/>
            <w:vAlign w:val="center"/>
          </w:tcPr>
          <w:p w14:paraId="5953DB5B"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Pro všechen dodávaný software musí být licence správně uvedena na faktuře, pro prokázání správného nabytí licence</w:t>
            </w:r>
          </w:p>
        </w:tc>
        <w:tc>
          <w:tcPr>
            <w:tcW w:w="1842" w:type="dxa"/>
            <w:vAlign w:val="center"/>
          </w:tcPr>
          <w:p w14:paraId="01132767" w14:textId="77777777" w:rsidR="00E81121" w:rsidRDefault="00E81121" w:rsidP="00811894">
            <w:r w:rsidRPr="00681800">
              <w:rPr>
                <w:rFonts w:ascii="Calibri" w:hAnsi="Calibri" w:cs="Calibri"/>
                <w:color w:val="FF0000"/>
                <w:szCs w:val="20"/>
              </w:rPr>
              <w:t>(doplní dodavatel)</w:t>
            </w:r>
          </w:p>
        </w:tc>
      </w:tr>
      <w:tr w:rsidR="00E81121" w:rsidRPr="002476E6" w14:paraId="2CB71C1B" w14:textId="77777777" w:rsidTr="009B4EED">
        <w:trPr>
          <w:jc w:val="center"/>
        </w:trPr>
        <w:tc>
          <w:tcPr>
            <w:tcW w:w="7797" w:type="dxa"/>
            <w:vAlign w:val="center"/>
          </w:tcPr>
          <w:p w14:paraId="331D8056"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 xml:space="preserve">OS Microsoft Windows 10 Professional / </w:t>
            </w:r>
            <w:proofErr w:type="spellStart"/>
            <w:r w:rsidRPr="00D87CB8">
              <w:rPr>
                <w:rFonts w:ascii="Calibri" w:hAnsi="Calibri" w:cs="Calibri"/>
                <w:sz w:val="22"/>
                <w:szCs w:val="22"/>
              </w:rPr>
              <w:t>Enterprise</w:t>
            </w:r>
            <w:proofErr w:type="spellEnd"/>
            <w:r w:rsidRPr="00D87CB8">
              <w:rPr>
                <w:rFonts w:ascii="Calibri" w:hAnsi="Calibri" w:cs="Calibri"/>
                <w:sz w:val="22"/>
                <w:szCs w:val="22"/>
              </w:rPr>
              <w:t xml:space="preserve"> CZ, </w:t>
            </w:r>
            <w:proofErr w:type="gramStart"/>
            <w:r w:rsidRPr="00D87CB8">
              <w:rPr>
                <w:rFonts w:ascii="Calibri" w:hAnsi="Calibri" w:cs="Calibri"/>
                <w:sz w:val="22"/>
                <w:szCs w:val="22"/>
              </w:rPr>
              <w:t>64 .</w:t>
            </w:r>
            <w:proofErr w:type="gramEnd"/>
            <w:r w:rsidRPr="00D87CB8">
              <w:rPr>
                <w:rFonts w:ascii="Calibri" w:hAnsi="Calibri" w:cs="Calibri"/>
                <w:sz w:val="22"/>
                <w:szCs w:val="22"/>
              </w:rPr>
              <w:t xml:space="preserve"> Současně musí být licence správně uvedena na faktuře, pro prokázání správného nabytí licence</w:t>
            </w:r>
          </w:p>
        </w:tc>
        <w:tc>
          <w:tcPr>
            <w:tcW w:w="1842" w:type="dxa"/>
            <w:vAlign w:val="center"/>
          </w:tcPr>
          <w:p w14:paraId="0DD12CFA" w14:textId="77777777" w:rsidR="00E81121" w:rsidRDefault="00E81121" w:rsidP="00811894">
            <w:r w:rsidRPr="00681800">
              <w:rPr>
                <w:rFonts w:ascii="Calibri" w:hAnsi="Calibri" w:cs="Calibri"/>
                <w:color w:val="FF0000"/>
                <w:szCs w:val="20"/>
              </w:rPr>
              <w:t>(doplní dodavatel)</w:t>
            </w:r>
          </w:p>
        </w:tc>
      </w:tr>
      <w:tr w:rsidR="00E81121" w:rsidRPr="002476E6" w14:paraId="2BC5BF83" w14:textId="77777777" w:rsidTr="009B4EED">
        <w:trPr>
          <w:jc w:val="center"/>
        </w:trPr>
        <w:tc>
          <w:tcPr>
            <w:tcW w:w="7797" w:type="dxa"/>
            <w:vAlign w:val="center"/>
          </w:tcPr>
          <w:p w14:paraId="07BE14E0"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podporované komunikační protokoly jmenovitě pro přenos výsledku a případné licenční omezení</w:t>
            </w:r>
          </w:p>
        </w:tc>
        <w:tc>
          <w:tcPr>
            <w:tcW w:w="1842" w:type="dxa"/>
            <w:vAlign w:val="center"/>
          </w:tcPr>
          <w:p w14:paraId="2233796B" w14:textId="77777777" w:rsidR="00E81121" w:rsidRDefault="00E81121" w:rsidP="00811894">
            <w:r w:rsidRPr="00681800">
              <w:rPr>
                <w:rFonts w:ascii="Calibri" w:hAnsi="Calibri" w:cs="Calibri"/>
                <w:color w:val="FF0000"/>
                <w:szCs w:val="20"/>
              </w:rPr>
              <w:t>(doplní dodavatel)</w:t>
            </w:r>
          </w:p>
        </w:tc>
      </w:tr>
      <w:tr w:rsidR="00E81121" w:rsidRPr="002476E6" w14:paraId="6B4970A9" w14:textId="77777777" w:rsidTr="009B4EED">
        <w:trPr>
          <w:trHeight w:val="408"/>
          <w:jc w:val="center"/>
        </w:trPr>
        <w:tc>
          <w:tcPr>
            <w:tcW w:w="7797" w:type="dxa"/>
            <w:vAlign w:val="center"/>
          </w:tcPr>
          <w:p w14:paraId="5C50BC8F" w14:textId="77777777" w:rsidR="00E81121" w:rsidRPr="002476E6" w:rsidRDefault="00E81121" w:rsidP="00811894">
            <w:pPr>
              <w:autoSpaceDE w:val="0"/>
              <w:autoSpaceDN w:val="0"/>
              <w:adjustRightInd w:val="0"/>
              <w:rPr>
                <w:rFonts w:ascii="Calibri" w:hAnsi="Calibri" w:cs="Calibri"/>
                <w:sz w:val="22"/>
                <w:szCs w:val="22"/>
              </w:rPr>
            </w:pPr>
            <w:r>
              <w:rPr>
                <w:rFonts w:ascii="Calibri" w:hAnsi="Calibri" w:cs="Calibri"/>
                <w:sz w:val="22"/>
                <w:szCs w:val="22"/>
              </w:rPr>
              <w:t>K</w:t>
            </w:r>
            <w:r w:rsidRPr="00D87CB8">
              <w:rPr>
                <w:rFonts w:ascii="Calibri" w:hAnsi="Calibri" w:cs="Calibri"/>
                <w:sz w:val="22"/>
                <w:szCs w:val="22"/>
              </w:rPr>
              <w:t>omunikační porty pro sítovou komunikaci</w:t>
            </w:r>
          </w:p>
        </w:tc>
        <w:tc>
          <w:tcPr>
            <w:tcW w:w="1842" w:type="dxa"/>
            <w:vAlign w:val="center"/>
          </w:tcPr>
          <w:p w14:paraId="205EAE17" w14:textId="77777777" w:rsidR="00E81121" w:rsidRDefault="00E81121" w:rsidP="00811894">
            <w:r w:rsidRPr="00681800">
              <w:rPr>
                <w:rFonts w:ascii="Calibri" w:hAnsi="Calibri" w:cs="Calibri"/>
                <w:color w:val="FF0000"/>
                <w:szCs w:val="20"/>
              </w:rPr>
              <w:t>(doplní dodavatel)</w:t>
            </w:r>
          </w:p>
        </w:tc>
      </w:tr>
      <w:tr w:rsidR="00E81121" w:rsidRPr="002476E6" w14:paraId="7FC88733" w14:textId="77777777" w:rsidTr="009B4EED">
        <w:trPr>
          <w:trHeight w:val="677"/>
          <w:jc w:val="center"/>
        </w:trPr>
        <w:tc>
          <w:tcPr>
            <w:tcW w:w="7797" w:type="dxa"/>
            <w:vAlign w:val="center"/>
          </w:tcPr>
          <w:p w14:paraId="7B73E818" w14:textId="77777777" w:rsidR="00E81121" w:rsidRPr="00D87CB8"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licence na komunikační protokol s NIS / PACS je součástí dodávky HL7, GDT nebo DICOM</w:t>
            </w:r>
          </w:p>
        </w:tc>
        <w:tc>
          <w:tcPr>
            <w:tcW w:w="1842" w:type="dxa"/>
            <w:vAlign w:val="center"/>
          </w:tcPr>
          <w:p w14:paraId="289BE5B8" w14:textId="77777777" w:rsidR="00E81121" w:rsidRDefault="00E81121" w:rsidP="00811894">
            <w:r w:rsidRPr="00681800">
              <w:rPr>
                <w:rFonts w:ascii="Calibri" w:hAnsi="Calibri" w:cs="Calibri"/>
                <w:color w:val="FF0000"/>
                <w:szCs w:val="20"/>
              </w:rPr>
              <w:t>(doplní dodavatel)</w:t>
            </w:r>
          </w:p>
        </w:tc>
      </w:tr>
    </w:tbl>
    <w:p w14:paraId="4AF7BB0B" w14:textId="1F206BBA" w:rsidR="00E81121" w:rsidRDefault="00E81121" w:rsidP="00E81121">
      <w:pPr>
        <w:rPr>
          <w:lang w:eastAsia="en-US"/>
        </w:rPr>
      </w:pPr>
    </w:p>
    <w:p w14:paraId="39D1811B" w14:textId="3552CE0A" w:rsidR="00402545" w:rsidRDefault="00402545" w:rsidP="00E81121">
      <w:pPr>
        <w:rPr>
          <w:lang w:eastAsia="en-US"/>
        </w:rPr>
      </w:pPr>
    </w:p>
    <w:p w14:paraId="44B71852" w14:textId="77777777" w:rsidR="00402545" w:rsidRDefault="00402545" w:rsidP="00E81121">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81121" w:rsidRPr="002476E6" w14:paraId="4896AC7D" w14:textId="77777777" w:rsidTr="00811894">
        <w:trPr>
          <w:tblHeader/>
          <w:jc w:val="center"/>
        </w:trPr>
        <w:tc>
          <w:tcPr>
            <w:tcW w:w="7797" w:type="dxa"/>
            <w:shd w:val="clear" w:color="auto" w:fill="F7CAAC" w:themeFill="accent2" w:themeFillTint="66"/>
          </w:tcPr>
          <w:p w14:paraId="1CCF773B"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p>
          <w:p w14:paraId="5E1DCAEE"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37FEE4A7" w14:textId="77777777" w:rsidR="00E81121" w:rsidRPr="002476E6" w:rsidRDefault="00E81121"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81121" w:rsidRPr="002476E6" w14:paraId="4203F659" w14:textId="77777777" w:rsidTr="009B4EED">
        <w:trPr>
          <w:jc w:val="center"/>
        </w:trPr>
        <w:tc>
          <w:tcPr>
            <w:tcW w:w="7797" w:type="dxa"/>
            <w:vAlign w:val="center"/>
          </w:tcPr>
          <w:p w14:paraId="57641EBC" w14:textId="77777777" w:rsidR="00E81121" w:rsidRPr="00BE5F4E" w:rsidRDefault="00E81121" w:rsidP="00811894">
            <w:pPr>
              <w:jc w:val="both"/>
              <w:rPr>
                <w:rFonts w:asciiTheme="minorHAnsi" w:hAnsiTheme="minorHAnsi" w:cstheme="minorHAnsi"/>
                <w:color w:val="0070C0"/>
                <w:sz w:val="22"/>
                <w:szCs w:val="22"/>
              </w:rPr>
            </w:pPr>
            <w:r w:rsidRPr="00BE5F4E">
              <w:rPr>
                <w:rFonts w:asciiTheme="minorHAnsi" w:hAnsiTheme="minorHAnsi" w:cstheme="minorHAnsi"/>
                <w:b/>
                <w:bCs/>
                <w:sz w:val="22"/>
                <w:szCs w:val="22"/>
                <w:lang w:eastAsia="en-US"/>
              </w:rPr>
              <w:t xml:space="preserve">„Požadavky pro zachování nezbytné funkčnosti zařízení dle ČSN EN 60601-1 </w:t>
            </w:r>
            <w:proofErr w:type="spellStart"/>
            <w:r w:rsidRPr="00BE5F4E">
              <w:rPr>
                <w:rFonts w:asciiTheme="minorHAnsi" w:hAnsiTheme="minorHAnsi" w:cstheme="minorHAnsi"/>
                <w:b/>
                <w:bCs/>
                <w:sz w:val="22"/>
                <w:szCs w:val="22"/>
                <w:lang w:eastAsia="en-US"/>
              </w:rPr>
              <w:t>ed</w:t>
            </w:r>
            <w:proofErr w:type="spellEnd"/>
            <w:r w:rsidRPr="00BE5F4E">
              <w:rPr>
                <w:rFonts w:asciiTheme="minorHAnsi" w:hAnsiTheme="minorHAnsi" w:cstheme="minorHAnsi"/>
                <w:b/>
                <w:bCs/>
                <w:sz w:val="22"/>
                <w:szCs w:val="22"/>
                <w:lang w:eastAsia="en-US"/>
              </w:rPr>
              <w:t xml:space="preserve">. 2 2007“ </w:t>
            </w:r>
            <w:r w:rsidRPr="00BE5F4E">
              <w:rPr>
                <w:rFonts w:asciiTheme="minorHAnsi" w:hAnsiTheme="minorHAnsi" w:cstheme="minorHAnsi"/>
                <w:sz w:val="22"/>
                <w:szCs w:val="22"/>
                <w:lang w:eastAsia="en-US"/>
              </w:rPr>
              <w:t>uchazeč uvede veškeré požadavky pro zachování nezbytné funkčnosti zařízení.</w:t>
            </w:r>
            <w:r w:rsidRPr="00BE5F4E">
              <w:rPr>
                <w:rFonts w:asciiTheme="minorHAnsi" w:hAnsiTheme="minorHAnsi" w:cstheme="minorHAnsi"/>
                <w:color w:val="0070C0"/>
                <w:sz w:val="22"/>
                <w:szCs w:val="22"/>
              </w:rPr>
              <w:t xml:space="preserve"> </w:t>
            </w:r>
          </w:p>
          <w:p w14:paraId="36FBFEA5" w14:textId="77777777" w:rsidR="00E81121" w:rsidRPr="00BE5F4E" w:rsidRDefault="00E81121" w:rsidP="00811894">
            <w:pPr>
              <w:jc w:val="both"/>
              <w:rPr>
                <w:rFonts w:asciiTheme="minorHAnsi" w:hAnsiTheme="minorHAnsi" w:cstheme="minorHAnsi"/>
                <w:color w:val="0070C0"/>
                <w:sz w:val="22"/>
                <w:szCs w:val="22"/>
              </w:rPr>
            </w:pPr>
            <w:r w:rsidRPr="00BE5F4E">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BE5F4E">
              <w:rPr>
                <w:rFonts w:asciiTheme="minorHAnsi" w:hAnsiTheme="minorHAnsi" w:cstheme="minorHAnsi"/>
                <w:sz w:val="22"/>
                <w:szCs w:val="22"/>
                <w:lang w:eastAsia="en-US"/>
              </w:rPr>
              <w:t>kVA</w:t>
            </w:r>
            <w:proofErr w:type="spellEnd"/>
            <w:r w:rsidRPr="00BE5F4E">
              <w:rPr>
                <w:rFonts w:asciiTheme="minorHAnsi" w:hAnsiTheme="minorHAnsi" w:cstheme="minorHAnsi"/>
                <w:sz w:val="22"/>
                <w:szCs w:val="22"/>
                <w:lang w:eastAsia="en-US"/>
              </w:rPr>
              <w:t xml:space="preserve"> z hlavního, záložního i nouzového zdroje napájení.</w:t>
            </w:r>
            <w:r w:rsidRPr="00BE5F4E">
              <w:rPr>
                <w:rFonts w:asciiTheme="minorHAnsi" w:hAnsiTheme="minorHAnsi" w:cstheme="minorHAnsi"/>
                <w:color w:val="0070C0"/>
                <w:sz w:val="22"/>
                <w:szCs w:val="22"/>
              </w:rPr>
              <w:t xml:space="preserve"> </w:t>
            </w:r>
          </w:p>
        </w:tc>
        <w:tc>
          <w:tcPr>
            <w:tcW w:w="1842" w:type="dxa"/>
            <w:vAlign w:val="center"/>
          </w:tcPr>
          <w:p w14:paraId="7C64CC71" w14:textId="77777777" w:rsidR="00E81121" w:rsidRDefault="00E81121" w:rsidP="00811894">
            <w:pPr>
              <w:jc w:val="center"/>
            </w:pPr>
            <w:r w:rsidRPr="000E7D2C">
              <w:rPr>
                <w:rFonts w:ascii="Calibri" w:hAnsi="Calibri" w:cs="Calibri"/>
                <w:color w:val="FF0000"/>
                <w:szCs w:val="20"/>
              </w:rPr>
              <w:t>(doplní dodavatel)</w:t>
            </w:r>
          </w:p>
        </w:tc>
      </w:tr>
      <w:tr w:rsidR="00E81121" w:rsidRPr="002476E6" w14:paraId="6884867F" w14:textId="77777777" w:rsidTr="009B4EED">
        <w:trPr>
          <w:jc w:val="center"/>
        </w:trPr>
        <w:tc>
          <w:tcPr>
            <w:tcW w:w="7797" w:type="dxa"/>
            <w:vAlign w:val="center"/>
          </w:tcPr>
          <w:p w14:paraId="2D0E925E" w14:textId="77777777" w:rsidR="00E81121" w:rsidRPr="00BE5F4E" w:rsidRDefault="00E81121" w:rsidP="00811894">
            <w:pPr>
              <w:jc w:val="both"/>
              <w:rPr>
                <w:rFonts w:asciiTheme="minorHAnsi" w:hAnsiTheme="minorHAnsi" w:cstheme="minorHAnsi"/>
                <w:b/>
                <w:bCs/>
                <w:color w:val="0070C0"/>
                <w:sz w:val="22"/>
                <w:szCs w:val="22"/>
                <w:u w:val="single"/>
              </w:rPr>
            </w:pPr>
            <w:r w:rsidRPr="00BE5F4E">
              <w:rPr>
                <w:rFonts w:asciiTheme="minorHAnsi" w:hAnsiTheme="minorHAnsi" w:cstheme="minorHAnsi"/>
                <w:sz w:val="22"/>
                <w:szCs w:val="22"/>
                <w:lang w:eastAsia="en-US"/>
              </w:rPr>
              <w:t>V případě požadavku na nouzový zdroj napájení (UPS)</w:t>
            </w:r>
            <w:r w:rsidRPr="00BE5F4E">
              <w:rPr>
                <w:rFonts w:asciiTheme="minorHAnsi" w:hAnsiTheme="minorHAnsi" w:cstheme="minorHAnsi"/>
                <w:color w:val="0070C0"/>
                <w:sz w:val="22"/>
                <w:szCs w:val="22"/>
              </w:rPr>
              <w:t xml:space="preserve"> </w:t>
            </w:r>
            <w:r w:rsidRPr="00BE5F4E">
              <w:rPr>
                <w:rFonts w:asciiTheme="minorHAnsi" w:hAnsiTheme="minorHAnsi" w:cstheme="minorHAnsi"/>
                <w:b/>
                <w:bCs/>
                <w:sz w:val="22"/>
                <w:szCs w:val="22"/>
                <w:lang w:eastAsia="en-US"/>
              </w:rPr>
              <w:t xml:space="preserve">zdroj musí být součástí nabídky </w:t>
            </w:r>
            <w:r w:rsidRPr="00BE5F4E">
              <w:rPr>
                <w:rFonts w:asciiTheme="minorHAnsi" w:hAnsiTheme="minorHAnsi" w:cstheme="minorHAnsi"/>
                <w:sz w:val="22"/>
                <w:szCs w:val="22"/>
                <w:lang w:eastAsia="en-US"/>
              </w:rPr>
              <w:t>a v souladu s článkem 7.9.2.3 výše citované normy tento samostatný napájecí zdroj</w:t>
            </w:r>
            <w:r w:rsidRPr="00BE5F4E">
              <w:rPr>
                <w:rFonts w:asciiTheme="minorHAnsi" w:hAnsiTheme="minorHAnsi" w:cstheme="minorHAnsi"/>
                <w:color w:val="0070C0"/>
                <w:sz w:val="22"/>
                <w:szCs w:val="22"/>
              </w:rPr>
              <w:t xml:space="preserve"> </w:t>
            </w:r>
            <w:r w:rsidRPr="00BE5F4E">
              <w:rPr>
                <w:rFonts w:asciiTheme="minorHAnsi" w:hAnsiTheme="minorHAnsi" w:cstheme="minorHAnsi"/>
                <w:sz w:val="22"/>
                <w:szCs w:val="22"/>
                <w:lang w:eastAsia="en-US"/>
              </w:rPr>
              <w:t xml:space="preserve">se </w:t>
            </w:r>
            <w:r w:rsidRPr="00BE5F4E">
              <w:rPr>
                <w:rFonts w:asciiTheme="minorHAnsi" w:hAnsiTheme="minorHAnsi" w:cstheme="minorHAnsi"/>
                <w:b/>
                <w:bCs/>
                <w:sz w:val="22"/>
                <w:szCs w:val="22"/>
                <w:lang w:eastAsia="en-US"/>
              </w:rPr>
              <w:t>stane součástí dodávaného ME přístroje</w:t>
            </w:r>
            <w:r w:rsidRPr="00BE5F4E">
              <w:rPr>
                <w:rFonts w:asciiTheme="minorHAnsi" w:hAnsiTheme="minorHAnsi" w:cstheme="minorHAnsi"/>
                <w:sz w:val="22"/>
                <w:szCs w:val="22"/>
                <w:lang w:eastAsia="en-US"/>
              </w:rPr>
              <w:t>. Musí být dodaná jasná specifikace na připojení tohoto nouzového zdroje do napájecí sítě.</w:t>
            </w:r>
          </w:p>
          <w:p w14:paraId="2311F86B" w14:textId="77777777" w:rsidR="00E81121" w:rsidRPr="00BE5F4E" w:rsidRDefault="00E81121" w:rsidP="00811894">
            <w:pPr>
              <w:jc w:val="both"/>
              <w:rPr>
                <w:rFonts w:asciiTheme="minorHAnsi" w:hAnsiTheme="minorHAnsi" w:cstheme="minorHAnsi"/>
                <w:b/>
                <w:bCs/>
                <w:sz w:val="22"/>
                <w:szCs w:val="22"/>
                <w:u w:val="single"/>
                <w:lang w:eastAsia="en-US"/>
              </w:rPr>
            </w:pPr>
            <w:r w:rsidRPr="00BE5F4E">
              <w:rPr>
                <w:rFonts w:asciiTheme="minorHAnsi" w:hAnsiTheme="minorHAnsi" w:cstheme="minorHAnsi"/>
                <w:b/>
                <w:bCs/>
                <w:sz w:val="22"/>
                <w:szCs w:val="22"/>
                <w:u w:val="single"/>
                <w:lang w:eastAsia="en-US"/>
              </w:rPr>
              <w:t xml:space="preserve">Současně bude uvedena i požadovaná doba zálohy ze samostatného nouzového zdroje UPS. </w:t>
            </w:r>
          </w:p>
          <w:p w14:paraId="0373D34D" w14:textId="77777777" w:rsidR="00E81121" w:rsidRPr="00BE5F4E" w:rsidRDefault="00E81121" w:rsidP="00811894">
            <w:pPr>
              <w:jc w:val="both"/>
              <w:rPr>
                <w:rFonts w:asciiTheme="minorHAnsi" w:hAnsiTheme="minorHAnsi" w:cstheme="minorHAnsi"/>
                <w:sz w:val="22"/>
                <w:szCs w:val="22"/>
                <w:lang w:eastAsia="en-US"/>
              </w:rPr>
            </w:pPr>
            <w:r w:rsidRPr="00BE5F4E">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D7DEDD1" w14:textId="77777777" w:rsidR="00E81121" w:rsidRPr="00BE5F4E" w:rsidRDefault="00E81121" w:rsidP="00811894">
            <w:pPr>
              <w:autoSpaceDE w:val="0"/>
              <w:autoSpaceDN w:val="0"/>
              <w:adjustRightInd w:val="0"/>
              <w:rPr>
                <w:rFonts w:asciiTheme="minorHAnsi" w:hAnsiTheme="minorHAnsi" w:cstheme="minorHAnsi"/>
                <w:sz w:val="22"/>
                <w:szCs w:val="22"/>
              </w:rPr>
            </w:pPr>
            <w:r w:rsidRPr="00BE5F4E">
              <w:rPr>
                <w:rFonts w:asciiTheme="minorHAnsi" w:hAnsiTheme="minorHAnsi" w:cstheme="minorHAnsi"/>
                <w:sz w:val="22"/>
                <w:szCs w:val="22"/>
                <w:lang w:eastAsia="en-US"/>
              </w:rPr>
              <w:lastRenderedPageBreak/>
              <w:t>Nezbytná funkčnost přístroje je stanovená výrobcem ME přístroje v souladu se zásadami výrobce pro stanovení přijatelného rizika.</w:t>
            </w:r>
          </w:p>
        </w:tc>
        <w:tc>
          <w:tcPr>
            <w:tcW w:w="1842" w:type="dxa"/>
            <w:vAlign w:val="center"/>
          </w:tcPr>
          <w:p w14:paraId="33193149" w14:textId="77777777" w:rsidR="00E81121" w:rsidRDefault="00E81121" w:rsidP="00811894">
            <w:pPr>
              <w:jc w:val="center"/>
            </w:pPr>
            <w:r w:rsidRPr="000E7D2C">
              <w:rPr>
                <w:rFonts w:ascii="Calibri" w:hAnsi="Calibri" w:cs="Calibri"/>
                <w:color w:val="FF0000"/>
                <w:szCs w:val="20"/>
              </w:rPr>
              <w:lastRenderedPageBreak/>
              <w:t>(doplní dodavatel)</w:t>
            </w:r>
          </w:p>
        </w:tc>
      </w:tr>
    </w:tbl>
    <w:p w14:paraId="07D9B455" w14:textId="77777777" w:rsidR="00D84390" w:rsidRDefault="00D84390" w:rsidP="00D84390">
      <w:pPr>
        <w:keepNext/>
        <w:outlineLvl w:val="4"/>
        <w:rPr>
          <w:rFonts w:ascii="Calibri" w:hAnsi="Calibri" w:cs="Calibri"/>
          <w:b/>
          <w:bCs/>
          <w:sz w:val="28"/>
          <w:szCs w:val="28"/>
          <w:lang w:eastAsia="en-US"/>
        </w:rPr>
      </w:pPr>
    </w:p>
    <w:p w14:paraId="678C84ED" w14:textId="77777777" w:rsidR="009B4EED" w:rsidRDefault="009B4EED" w:rsidP="00D84390">
      <w:pPr>
        <w:keepNext/>
        <w:outlineLvl w:val="4"/>
        <w:rPr>
          <w:rFonts w:ascii="Calibri" w:hAnsi="Calibri" w:cs="Calibri"/>
          <w:b/>
          <w:bCs/>
          <w:sz w:val="28"/>
          <w:szCs w:val="28"/>
          <w:lang w:eastAsia="en-US"/>
        </w:rPr>
      </w:pPr>
    </w:p>
    <w:p w14:paraId="356B7B68" w14:textId="77777777" w:rsidR="009B4EED" w:rsidRDefault="009B4EED" w:rsidP="00D84390">
      <w:pPr>
        <w:keepNext/>
        <w:outlineLvl w:val="4"/>
        <w:rPr>
          <w:rFonts w:ascii="Calibri" w:hAnsi="Calibri" w:cs="Calibri"/>
          <w:b/>
          <w:bCs/>
          <w:sz w:val="28"/>
          <w:szCs w:val="28"/>
          <w:lang w:eastAsia="en-US"/>
        </w:rPr>
      </w:pPr>
    </w:p>
    <w:p w14:paraId="6F151D95" w14:textId="14D473CF" w:rsidR="00D84390" w:rsidRPr="00D05340" w:rsidRDefault="00D84390" w:rsidP="00D84390">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181CC1FC" w14:textId="77777777" w:rsidR="00D84390" w:rsidRPr="00D05340" w:rsidRDefault="00D84390" w:rsidP="00D84390">
      <w:pPr>
        <w:rPr>
          <w:lang w:eastAsia="en-US"/>
        </w:rPr>
      </w:pPr>
    </w:p>
    <w:p w14:paraId="224AA6E8" w14:textId="77777777" w:rsidR="00D84390" w:rsidRPr="00D05340" w:rsidRDefault="00D84390" w:rsidP="00D84390">
      <w:pPr>
        <w:rPr>
          <w:lang w:eastAsia="en-US"/>
        </w:rPr>
      </w:pPr>
      <w:r w:rsidRPr="00D05340">
        <w:rPr>
          <w:lang w:eastAsia="en-US"/>
        </w:rPr>
        <w:t>DODAVATEL MÁ POVINNOST VYPLNIT SPLNĚNÍ POŽADAVKU V TABULCE ANO/NE. SPNĚNÍ UVEDENÝCH POŽADAVKŮ POŽADUJE ZADAVATEL V RÁMCI DODÁVKY PŘEDMĚTU PLNĚNÍ.</w:t>
      </w:r>
    </w:p>
    <w:p w14:paraId="24F1DB43" w14:textId="77777777" w:rsidR="00D84390" w:rsidRPr="00D05340" w:rsidRDefault="00D84390" w:rsidP="00D84390">
      <w:pPr>
        <w:rPr>
          <w:lang w:eastAsia="en-US"/>
        </w:rPr>
      </w:pPr>
    </w:p>
    <w:tbl>
      <w:tblPr>
        <w:tblStyle w:val="Mkatabulky1"/>
        <w:tblW w:w="9639" w:type="dxa"/>
        <w:jc w:val="center"/>
        <w:tblLook w:val="04A0" w:firstRow="1" w:lastRow="0" w:firstColumn="1" w:lastColumn="0" w:noHBand="0" w:noVBand="1"/>
      </w:tblPr>
      <w:tblGrid>
        <w:gridCol w:w="7797"/>
        <w:gridCol w:w="1842"/>
      </w:tblGrid>
      <w:tr w:rsidR="00D84390" w:rsidRPr="00D05340" w14:paraId="47D942FB" w14:textId="77777777" w:rsidTr="006873DE">
        <w:trPr>
          <w:tblHeader/>
          <w:jc w:val="center"/>
        </w:trPr>
        <w:tc>
          <w:tcPr>
            <w:tcW w:w="7796" w:type="dxa"/>
            <w:shd w:val="clear" w:color="auto" w:fill="F7CAAC" w:themeFill="accent2" w:themeFillTint="66"/>
          </w:tcPr>
          <w:p w14:paraId="6D757008" w14:textId="77777777" w:rsidR="00D84390" w:rsidRPr="00D05340" w:rsidRDefault="00D84390" w:rsidP="006873DE">
            <w:pPr>
              <w:keepNext/>
              <w:jc w:val="center"/>
              <w:outlineLvl w:val="5"/>
              <w:rPr>
                <w:rFonts w:ascii="Calibri" w:hAnsi="Calibri"/>
                <w:b/>
                <w:sz w:val="22"/>
                <w:szCs w:val="22"/>
              </w:rPr>
            </w:pPr>
          </w:p>
          <w:p w14:paraId="4D57C2D0" w14:textId="77777777" w:rsidR="00D84390" w:rsidRPr="00D05340" w:rsidRDefault="00D84390" w:rsidP="006873DE">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3AD99295" w14:textId="77777777" w:rsidR="00D84390" w:rsidRPr="00D05340" w:rsidRDefault="00D84390" w:rsidP="006873DE">
            <w:pPr>
              <w:jc w:val="center"/>
              <w:rPr>
                <w:rFonts w:ascii="Calibri" w:hAnsi="Calibri"/>
                <w:b/>
                <w:sz w:val="22"/>
                <w:szCs w:val="22"/>
              </w:rPr>
            </w:pPr>
            <w:r w:rsidRPr="00D05340">
              <w:rPr>
                <w:rFonts w:ascii="Calibri" w:hAnsi="Calibri"/>
                <w:b/>
                <w:sz w:val="22"/>
                <w:szCs w:val="22"/>
              </w:rPr>
              <w:t>Splnění požadavku ANO/NE</w:t>
            </w:r>
          </w:p>
        </w:tc>
      </w:tr>
      <w:tr w:rsidR="00D84390" w:rsidRPr="00D05340" w14:paraId="175F2141" w14:textId="77777777" w:rsidTr="006873DE">
        <w:trPr>
          <w:jc w:val="center"/>
        </w:trPr>
        <w:tc>
          <w:tcPr>
            <w:tcW w:w="7796" w:type="dxa"/>
            <w:shd w:val="clear" w:color="auto" w:fill="auto"/>
            <w:vAlign w:val="center"/>
          </w:tcPr>
          <w:p w14:paraId="74EB83C0" w14:textId="77777777" w:rsidR="00D84390" w:rsidRPr="00D05340" w:rsidRDefault="00D84390" w:rsidP="006873DE">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0A2A6486" w14:textId="77777777" w:rsidR="00D84390" w:rsidRPr="00D05340" w:rsidRDefault="00D84390"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D84390" w:rsidRPr="00D05340" w14:paraId="0E45562C" w14:textId="77777777" w:rsidTr="006873DE">
        <w:trPr>
          <w:jc w:val="center"/>
        </w:trPr>
        <w:tc>
          <w:tcPr>
            <w:tcW w:w="7796" w:type="dxa"/>
            <w:shd w:val="clear" w:color="auto" w:fill="auto"/>
            <w:vAlign w:val="center"/>
          </w:tcPr>
          <w:p w14:paraId="378B7369" w14:textId="77777777" w:rsidR="00D84390" w:rsidRPr="00D05340" w:rsidRDefault="00D84390" w:rsidP="006873DE">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7BD750D8" w14:textId="77777777" w:rsidR="00D84390" w:rsidRPr="00D05340" w:rsidRDefault="00D84390"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D84390" w:rsidRPr="00D05340" w14:paraId="6D4852A7" w14:textId="77777777" w:rsidTr="006873DE">
        <w:trPr>
          <w:jc w:val="center"/>
        </w:trPr>
        <w:tc>
          <w:tcPr>
            <w:tcW w:w="7796" w:type="dxa"/>
            <w:shd w:val="clear" w:color="auto" w:fill="auto"/>
            <w:vAlign w:val="center"/>
          </w:tcPr>
          <w:p w14:paraId="15079873" w14:textId="77777777" w:rsidR="00D84390" w:rsidRPr="00D05340" w:rsidRDefault="00D84390" w:rsidP="006873DE">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5F702BAC" w14:textId="77777777" w:rsidR="00D84390" w:rsidRPr="00D05340" w:rsidRDefault="00D84390"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D84390" w:rsidRPr="00D05340" w14:paraId="52612489" w14:textId="77777777" w:rsidTr="006873DE">
        <w:trPr>
          <w:jc w:val="center"/>
        </w:trPr>
        <w:tc>
          <w:tcPr>
            <w:tcW w:w="7796" w:type="dxa"/>
            <w:shd w:val="clear" w:color="auto" w:fill="auto"/>
            <w:vAlign w:val="center"/>
          </w:tcPr>
          <w:p w14:paraId="0A97C376" w14:textId="77777777" w:rsidR="00D84390" w:rsidRPr="00D05340" w:rsidRDefault="00D84390" w:rsidP="006873DE">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7B3243D4" w14:textId="77777777" w:rsidR="00D84390" w:rsidRPr="00D05340" w:rsidRDefault="00D84390"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D84390" w:rsidRPr="00D05340" w14:paraId="7CEA2321" w14:textId="77777777" w:rsidTr="006873DE">
        <w:trPr>
          <w:jc w:val="center"/>
        </w:trPr>
        <w:tc>
          <w:tcPr>
            <w:tcW w:w="7796" w:type="dxa"/>
            <w:shd w:val="clear" w:color="auto" w:fill="auto"/>
            <w:vAlign w:val="center"/>
          </w:tcPr>
          <w:p w14:paraId="73C373CF" w14:textId="77777777" w:rsidR="00D84390" w:rsidRPr="00D05340" w:rsidRDefault="00D84390" w:rsidP="006873DE">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2C3EB673" w14:textId="77777777" w:rsidR="00D84390" w:rsidRPr="00D05340" w:rsidRDefault="00D84390"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D84390" w:rsidRPr="00D05340" w14:paraId="5CBE80D1" w14:textId="77777777" w:rsidTr="006873DE">
        <w:trPr>
          <w:trHeight w:val="677"/>
          <w:jc w:val="center"/>
        </w:trPr>
        <w:tc>
          <w:tcPr>
            <w:tcW w:w="7796" w:type="dxa"/>
            <w:shd w:val="clear" w:color="auto" w:fill="auto"/>
            <w:vAlign w:val="center"/>
          </w:tcPr>
          <w:p w14:paraId="3D52A286" w14:textId="77777777" w:rsidR="00D84390" w:rsidRPr="00D05340" w:rsidRDefault="00D84390" w:rsidP="006873DE">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2631BA22" w14:textId="77777777" w:rsidR="00D84390" w:rsidRPr="00D05340" w:rsidRDefault="00D84390" w:rsidP="006873DE">
            <w:pPr>
              <w:jc w:val="center"/>
              <w:rPr>
                <w:rFonts w:ascii="Calibri" w:hAnsi="Calibri" w:cs="Calibri"/>
                <w:color w:val="FF0000"/>
                <w:szCs w:val="20"/>
              </w:rPr>
            </w:pPr>
            <w:r w:rsidRPr="00D05340">
              <w:rPr>
                <w:rFonts w:ascii="Calibri" w:hAnsi="Calibri" w:cs="Calibri"/>
                <w:color w:val="FF0000"/>
                <w:szCs w:val="20"/>
              </w:rPr>
              <w:t>(doplní dodavatel)</w:t>
            </w:r>
          </w:p>
        </w:tc>
      </w:tr>
    </w:tbl>
    <w:p w14:paraId="3F28B331" w14:textId="77777777" w:rsidR="0065447C" w:rsidRDefault="0065447C" w:rsidP="00FE281D">
      <w:pPr>
        <w:pStyle w:val="Nadpis2"/>
        <w:spacing w:before="240"/>
        <w:rPr>
          <w:sz w:val="28"/>
          <w:szCs w:val="28"/>
        </w:rPr>
      </w:pPr>
    </w:p>
    <w:sectPr w:rsidR="0065447C" w:rsidSect="009B4EED">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FAD7A" w14:textId="77777777" w:rsidR="006466FD" w:rsidRDefault="006466FD">
      <w:r>
        <w:separator/>
      </w:r>
    </w:p>
  </w:endnote>
  <w:endnote w:type="continuationSeparator" w:id="0">
    <w:p w14:paraId="62799CC5"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322F809E" w14:textId="3DA23CBF" w:rsidR="00170C48" w:rsidRDefault="00170C48" w:rsidP="00170C48">
        <w:pPr>
          <w:pStyle w:val="Zpat"/>
          <w:tabs>
            <w:tab w:val="left" w:pos="6330"/>
            <w:tab w:val="right" w:pos="9864"/>
          </w:tabs>
        </w:pPr>
      </w:p>
      <w:p w14:paraId="4C5AE9E7" w14:textId="33B86993" w:rsidR="00CA2983" w:rsidRDefault="00CA2983" w:rsidP="00E75C66">
        <w:pPr>
          <w:pStyle w:val="Zpat"/>
          <w:tabs>
            <w:tab w:val="clear" w:pos="4536"/>
            <w:tab w:val="clear" w:pos="9072"/>
            <w:tab w:val="left" w:pos="7455"/>
          </w:tabs>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6CC1D48"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F3EB6" w14:textId="77777777" w:rsidR="006466FD" w:rsidRDefault="006466FD">
      <w:r>
        <w:separator/>
      </w:r>
    </w:p>
  </w:footnote>
  <w:footnote w:type="continuationSeparator" w:id="0">
    <w:p w14:paraId="339C9AC9"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07930" w14:textId="105C6435" w:rsidR="006518A6" w:rsidRDefault="003B40D7" w:rsidP="00E75C66">
    <w:pPr>
      <w:pStyle w:val="Zhlav"/>
      <w:ind w:hanging="426"/>
      <w:jc w:val="both"/>
    </w:pPr>
    <w:r>
      <w:rPr>
        <w:noProof/>
      </w:rPr>
      <w:drawing>
        <wp:anchor distT="0" distB="0" distL="114300" distR="114300" simplePos="0" relativeHeight="251658240" behindDoc="0" locked="0" layoutInCell="1" allowOverlap="1" wp14:anchorId="619D8CCF" wp14:editId="0CD75C8A">
          <wp:simplePos x="0" y="0"/>
          <wp:positionH relativeFrom="margin">
            <wp:posOffset>3874135</wp:posOffset>
          </wp:positionH>
          <wp:positionV relativeFrom="paragraph">
            <wp:posOffset>-103505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5B7F69"/>
    <w:multiLevelType w:val="hybridMultilevel"/>
    <w:tmpl w:val="4F4C8F18"/>
    <w:lvl w:ilvl="0" w:tplc="1DC68BC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CE2888"/>
    <w:multiLevelType w:val="hybridMultilevel"/>
    <w:tmpl w:val="49CA1F68"/>
    <w:lvl w:ilvl="0" w:tplc="CC383606">
      <w:start w:val="1"/>
      <w:numFmt w:val="bullet"/>
      <w:lvlText w:val="o"/>
      <w:lvlJc w:val="left"/>
      <w:pPr>
        <w:tabs>
          <w:tab w:val="num" w:pos="738"/>
        </w:tabs>
        <w:ind w:left="738" w:hanging="454"/>
      </w:pPr>
      <w:rPr>
        <w:rFonts w:hAnsi="Courier New"/>
      </w:rPr>
    </w:lvl>
    <w:lvl w:ilvl="1" w:tplc="048A9E40">
      <w:start w:val="1"/>
      <w:numFmt w:val="bullet"/>
      <w:lvlText w:val=""/>
      <w:lvlJc w:val="left"/>
      <w:pPr>
        <w:tabs>
          <w:tab w:val="num" w:pos="1440"/>
        </w:tabs>
        <w:ind w:left="1420" w:hanging="340"/>
      </w:pPr>
      <w:rPr>
        <w:rFonts w:ascii="Symbol" w:hAnsi="Symbol"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Times New Roman"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Times New Roman"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1"/>
  </w:num>
  <w:num w:numId="4">
    <w:abstractNumId w:val="7"/>
  </w:num>
  <w:num w:numId="5">
    <w:abstractNumId w:val="4"/>
  </w:num>
  <w:num w:numId="6">
    <w:abstractNumId w:val="8"/>
  </w:num>
  <w:num w:numId="7">
    <w:abstractNumId w:val="8"/>
  </w:num>
  <w:num w:numId="8">
    <w:abstractNumId w:val="20"/>
  </w:num>
  <w:num w:numId="9">
    <w:abstractNumId w:val="1"/>
  </w:num>
  <w:num w:numId="10">
    <w:abstractNumId w:val="14"/>
  </w:num>
  <w:num w:numId="11">
    <w:abstractNumId w:val="13"/>
  </w:num>
  <w:num w:numId="12">
    <w:abstractNumId w:val="19"/>
  </w:num>
  <w:num w:numId="13">
    <w:abstractNumId w:val="5"/>
  </w:num>
  <w:num w:numId="14">
    <w:abstractNumId w:val="16"/>
  </w:num>
  <w:num w:numId="15">
    <w:abstractNumId w:val="18"/>
  </w:num>
  <w:num w:numId="16">
    <w:abstractNumId w:val="9"/>
  </w:num>
  <w:num w:numId="17">
    <w:abstractNumId w:val="10"/>
  </w:num>
  <w:num w:numId="18">
    <w:abstractNumId w:val="6"/>
  </w:num>
  <w:num w:numId="19">
    <w:abstractNumId w:val="2"/>
  </w:num>
  <w:num w:numId="20">
    <w:abstractNumId w:val="22"/>
  </w:num>
  <w:num w:numId="21">
    <w:abstractNumId w:val="11"/>
  </w:num>
  <w:num w:numId="22">
    <w:abstractNumId w:val="15"/>
  </w:num>
  <w:num w:numId="23">
    <w:abstractNumId w:val="12"/>
  </w:num>
  <w:num w:numId="2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3B24"/>
    <w:rsid w:val="000109C3"/>
    <w:rsid w:val="00012A02"/>
    <w:rsid w:val="00035A0E"/>
    <w:rsid w:val="0003624C"/>
    <w:rsid w:val="00052D89"/>
    <w:rsid w:val="000645CC"/>
    <w:rsid w:val="000658D9"/>
    <w:rsid w:val="00066D72"/>
    <w:rsid w:val="00074528"/>
    <w:rsid w:val="00085EFC"/>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0C48"/>
    <w:rsid w:val="001770B9"/>
    <w:rsid w:val="00187FB4"/>
    <w:rsid w:val="00191ADF"/>
    <w:rsid w:val="00197A5B"/>
    <w:rsid w:val="001D1372"/>
    <w:rsid w:val="001E397D"/>
    <w:rsid w:val="001E427D"/>
    <w:rsid w:val="001F285E"/>
    <w:rsid w:val="001F2952"/>
    <w:rsid w:val="00205EE2"/>
    <w:rsid w:val="00214C1D"/>
    <w:rsid w:val="002476E6"/>
    <w:rsid w:val="002630EF"/>
    <w:rsid w:val="00264610"/>
    <w:rsid w:val="00265C06"/>
    <w:rsid w:val="00280A80"/>
    <w:rsid w:val="002B39F1"/>
    <w:rsid w:val="002C145D"/>
    <w:rsid w:val="002C543B"/>
    <w:rsid w:val="002C5A20"/>
    <w:rsid w:val="002D0847"/>
    <w:rsid w:val="002D4509"/>
    <w:rsid w:val="00303205"/>
    <w:rsid w:val="0032320B"/>
    <w:rsid w:val="00353230"/>
    <w:rsid w:val="003733E3"/>
    <w:rsid w:val="00374075"/>
    <w:rsid w:val="003846F9"/>
    <w:rsid w:val="003872B0"/>
    <w:rsid w:val="00393D4B"/>
    <w:rsid w:val="00393D63"/>
    <w:rsid w:val="003971BB"/>
    <w:rsid w:val="003A3C99"/>
    <w:rsid w:val="003B40D7"/>
    <w:rsid w:val="003B4A14"/>
    <w:rsid w:val="003C2560"/>
    <w:rsid w:val="003C4256"/>
    <w:rsid w:val="003D1E77"/>
    <w:rsid w:val="003D5973"/>
    <w:rsid w:val="003D5FC2"/>
    <w:rsid w:val="003E5E6D"/>
    <w:rsid w:val="004001AC"/>
    <w:rsid w:val="004006C4"/>
    <w:rsid w:val="00402545"/>
    <w:rsid w:val="00411483"/>
    <w:rsid w:val="00426B74"/>
    <w:rsid w:val="004521F2"/>
    <w:rsid w:val="0045612A"/>
    <w:rsid w:val="00464365"/>
    <w:rsid w:val="00470C30"/>
    <w:rsid w:val="0047221C"/>
    <w:rsid w:val="00472A28"/>
    <w:rsid w:val="004838A7"/>
    <w:rsid w:val="004B40A7"/>
    <w:rsid w:val="004C57F4"/>
    <w:rsid w:val="004C65DC"/>
    <w:rsid w:val="004C7980"/>
    <w:rsid w:val="004D0CE5"/>
    <w:rsid w:val="004D2DB6"/>
    <w:rsid w:val="004F0C51"/>
    <w:rsid w:val="004F5479"/>
    <w:rsid w:val="004F69D1"/>
    <w:rsid w:val="00504A9F"/>
    <w:rsid w:val="00521035"/>
    <w:rsid w:val="00521903"/>
    <w:rsid w:val="00531FC6"/>
    <w:rsid w:val="005329B0"/>
    <w:rsid w:val="0054515C"/>
    <w:rsid w:val="00560743"/>
    <w:rsid w:val="0056576E"/>
    <w:rsid w:val="00567235"/>
    <w:rsid w:val="00572533"/>
    <w:rsid w:val="005A2DEA"/>
    <w:rsid w:val="005A65D1"/>
    <w:rsid w:val="005B06FC"/>
    <w:rsid w:val="005B2A93"/>
    <w:rsid w:val="005C6500"/>
    <w:rsid w:val="005D6FB3"/>
    <w:rsid w:val="005E15EB"/>
    <w:rsid w:val="005E1A2C"/>
    <w:rsid w:val="00600F8C"/>
    <w:rsid w:val="006028C9"/>
    <w:rsid w:val="00602A33"/>
    <w:rsid w:val="00607DA1"/>
    <w:rsid w:val="00620CA2"/>
    <w:rsid w:val="0062603D"/>
    <w:rsid w:val="006367D7"/>
    <w:rsid w:val="00636C1B"/>
    <w:rsid w:val="006370F4"/>
    <w:rsid w:val="00637A1A"/>
    <w:rsid w:val="006466FD"/>
    <w:rsid w:val="006518A6"/>
    <w:rsid w:val="00652279"/>
    <w:rsid w:val="00654188"/>
    <w:rsid w:val="0065447C"/>
    <w:rsid w:val="00662654"/>
    <w:rsid w:val="006750DE"/>
    <w:rsid w:val="0067650B"/>
    <w:rsid w:val="006F12A7"/>
    <w:rsid w:val="006F6461"/>
    <w:rsid w:val="00703424"/>
    <w:rsid w:val="0071402B"/>
    <w:rsid w:val="0071532A"/>
    <w:rsid w:val="00716461"/>
    <w:rsid w:val="007230A6"/>
    <w:rsid w:val="0073070F"/>
    <w:rsid w:val="007341AA"/>
    <w:rsid w:val="007466C7"/>
    <w:rsid w:val="00756D6D"/>
    <w:rsid w:val="00767CC9"/>
    <w:rsid w:val="00783B7D"/>
    <w:rsid w:val="007B6C29"/>
    <w:rsid w:val="007D0152"/>
    <w:rsid w:val="007D1C73"/>
    <w:rsid w:val="007D591C"/>
    <w:rsid w:val="007E7126"/>
    <w:rsid w:val="007F694D"/>
    <w:rsid w:val="007F795F"/>
    <w:rsid w:val="00814870"/>
    <w:rsid w:val="0081601A"/>
    <w:rsid w:val="00842F61"/>
    <w:rsid w:val="00843B0E"/>
    <w:rsid w:val="0085532C"/>
    <w:rsid w:val="00855DB3"/>
    <w:rsid w:val="00861184"/>
    <w:rsid w:val="00885D17"/>
    <w:rsid w:val="00890047"/>
    <w:rsid w:val="008B1CD4"/>
    <w:rsid w:val="008E1D92"/>
    <w:rsid w:val="008E66DE"/>
    <w:rsid w:val="00907E39"/>
    <w:rsid w:val="00965992"/>
    <w:rsid w:val="009673F6"/>
    <w:rsid w:val="0097571A"/>
    <w:rsid w:val="00985725"/>
    <w:rsid w:val="0098671F"/>
    <w:rsid w:val="0099223B"/>
    <w:rsid w:val="009B4E45"/>
    <w:rsid w:val="009B4EED"/>
    <w:rsid w:val="009C0B4C"/>
    <w:rsid w:val="009C2444"/>
    <w:rsid w:val="009E189C"/>
    <w:rsid w:val="00A075F1"/>
    <w:rsid w:val="00A12E4D"/>
    <w:rsid w:val="00A37710"/>
    <w:rsid w:val="00A537FA"/>
    <w:rsid w:val="00A72488"/>
    <w:rsid w:val="00A7653E"/>
    <w:rsid w:val="00A811DD"/>
    <w:rsid w:val="00A8362D"/>
    <w:rsid w:val="00A837CA"/>
    <w:rsid w:val="00A9026B"/>
    <w:rsid w:val="00AB14BC"/>
    <w:rsid w:val="00AB45AD"/>
    <w:rsid w:val="00AB79A6"/>
    <w:rsid w:val="00AC3F9C"/>
    <w:rsid w:val="00AD7DB4"/>
    <w:rsid w:val="00AE6E47"/>
    <w:rsid w:val="00B01362"/>
    <w:rsid w:val="00B04151"/>
    <w:rsid w:val="00B10101"/>
    <w:rsid w:val="00B360D1"/>
    <w:rsid w:val="00B429BE"/>
    <w:rsid w:val="00B45E93"/>
    <w:rsid w:val="00B471A0"/>
    <w:rsid w:val="00B53DAE"/>
    <w:rsid w:val="00B56308"/>
    <w:rsid w:val="00B65435"/>
    <w:rsid w:val="00B85A35"/>
    <w:rsid w:val="00BB2159"/>
    <w:rsid w:val="00BD28E1"/>
    <w:rsid w:val="00BD3718"/>
    <w:rsid w:val="00BD6D27"/>
    <w:rsid w:val="00BE274B"/>
    <w:rsid w:val="00BE4ADC"/>
    <w:rsid w:val="00BE5F4E"/>
    <w:rsid w:val="00C04ADE"/>
    <w:rsid w:val="00C10A7D"/>
    <w:rsid w:val="00C16503"/>
    <w:rsid w:val="00C30CA0"/>
    <w:rsid w:val="00C45657"/>
    <w:rsid w:val="00C46ACF"/>
    <w:rsid w:val="00C57F86"/>
    <w:rsid w:val="00C62B29"/>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16178"/>
    <w:rsid w:val="00D20BC1"/>
    <w:rsid w:val="00D241F8"/>
    <w:rsid w:val="00D33243"/>
    <w:rsid w:val="00D3510F"/>
    <w:rsid w:val="00D40E8A"/>
    <w:rsid w:val="00D42818"/>
    <w:rsid w:val="00D431D5"/>
    <w:rsid w:val="00D43214"/>
    <w:rsid w:val="00D46F45"/>
    <w:rsid w:val="00D5247B"/>
    <w:rsid w:val="00D5732D"/>
    <w:rsid w:val="00D62E8D"/>
    <w:rsid w:val="00D70BF0"/>
    <w:rsid w:val="00D72049"/>
    <w:rsid w:val="00D84390"/>
    <w:rsid w:val="00D876D7"/>
    <w:rsid w:val="00D963DD"/>
    <w:rsid w:val="00DA37A2"/>
    <w:rsid w:val="00DA3F23"/>
    <w:rsid w:val="00DA57E0"/>
    <w:rsid w:val="00DB122E"/>
    <w:rsid w:val="00DC078E"/>
    <w:rsid w:val="00E14675"/>
    <w:rsid w:val="00E14A45"/>
    <w:rsid w:val="00E25961"/>
    <w:rsid w:val="00E25E2C"/>
    <w:rsid w:val="00E3244D"/>
    <w:rsid w:val="00E327B4"/>
    <w:rsid w:val="00E51D1E"/>
    <w:rsid w:val="00E563A5"/>
    <w:rsid w:val="00E62334"/>
    <w:rsid w:val="00E63890"/>
    <w:rsid w:val="00E640CE"/>
    <w:rsid w:val="00E70BD0"/>
    <w:rsid w:val="00E73FAD"/>
    <w:rsid w:val="00E75C66"/>
    <w:rsid w:val="00E80362"/>
    <w:rsid w:val="00E81121"/>
    <w:rsid w:val="00EA692D"/>
    <w:rsid w:val="00EB28FB"/>
    <w:rsid w:val="00EB3567"/>
    <w:rsid w:val="00EB38C3"/>
    <w:rsid w:val="00EC44E3"/>
    <w:rsid w:val="00EC6204"/>
    <w:rsid w:val="00ED1886"/>
    <w:rsid w:val="00EE1E0E"/>
    <w:rsid w:val="00EF76FF"/>
    <w:rsid w:val="00F011A6"/>
    <w:rsid w:val="00F02F73"/>
    <w:rsid w:val="00F03861"/>
    <w:rsid w:val="00F069C9"/>
    <w:rsid w:val="00F14182"/>
    <w:rsid w:val="00F16700"/>
    <w:rsid w:val="00F304A0"/>
    <w:rsid w:val="00F42F2C"/>
    <w:rsid w:val="00F445B4"/>
    <w:rsid w:val="00F45432"/>
    <w:rsid w:val="00F458FA"/>
    <w:rsid w:val="00F4791F"/>
    <w:rsid w:val="00F63C45"/>
    <w:rsid w:val="00F66DDD"/>
    <w:rsid w:val="00F935F7"/>
    <w:rsid w:val="00F974BE"/>
    <w:rsid w:val="00FB0179"/>
    <w:rsid w:val="00FB2566"/>
    <w:rsid w:val="00FB4C27"/>
    <w:rsid w:val="00FD19A8"/>
    <w:rsid w:val="00FE281D"/>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1C1225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D8439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62144404">
      <w:bodyDiv w:val="1"/>
      <w:marLeft w:val="0"/>
      <w:marRight w:val="0"/>
      <w:marTop w:val="0"/>
      <w:marBottom w:val="0"/>
      <w:divBdr>
        <w:top w:val="none" w:sz="0" w:space="0" w:color="auto"/>
        <w:left w:val="none" w:sz="0" w:space="0" w:color="auto"/>
        <w:bottom w:val="none" w:sz="0" w:space="0" w:color="auto"/>
        <w:right w:val="none" w:sz="0" w:space="0" w:color="auto"/>
      </w:divBdr>
    </w:div>
    <w:div w:id="216285009">
      <w:bodyDiv w:val="1"/>
      <w:marLeft w:val="0"/>
      <w:marRight w:val="0"/>
      <w:marTop w:val="0"/>
      <w:marBottom w:val="0"/>
      <w:divBdr>
        <w:top w:val="none" w:sz="0" w:space="0" w:color="auto"/>
        <w:left w:val="none" w:sz="0" w:space="0" w:color="auto"/>
        <w:bottom w:val="none" w:sz="0" w:space="0" w:color="auto"/>
        <w:right w:val="none" w:sz="0" w:space="0" w:color="auto"/>
      </w:divBdr>
    </w:div>
    <w:div w:id="284969825">
      <w:bodyDiv w:val="1"/>
      <w:marLeft w:val="0"/>
      <w:marRight w:val="0"/>
      <w:marTop w:val="0"/>
      <w:marBottom w:val="0"/>
      <w:divBdr>
        <w:top w:val="none" w:sz="0" w:space="0" w:color="auto"/>
        <w:left w:val="none" w:sz="0" w:space="0" w:color="auto"/>
        <w:bottom w:val="none" w:sz="0" w:space="0" w:color="auto"/>
        <w:right w:val="none" w:sz="0" w:space="0" w:color="auto"/>
      </w:divBdr>
    </w:div>
    <w:div w:id="325717830">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412893423">
      <w:bodyDiv w:val="1"/>
      <w:marLeft w:val="0"/>
      <w:marRight w:val="0"/>
      <w:marTop w:val="0"/>
      <w:marBottom w:val="0"/>
      <w:divBdr>
        <w:top w:val="none" w:sz="0" w:space="0" w:color="auto"/>
        <w:left w:val="none" w:sz="0" w:space="0" w:color="auto"/>
        <w:bottom w:val="none" w:sz="0" w:space="0" w:color="auto"/>
        <w:right w:val="none" w:sz="0" w:space="0" w:color="auto"/>
      </w:divBdr>
    </w:div>
    <w:div w:id="448551510">
      <w:bodyDiv w:val="1"/>
      <w:marLeft w:val="0"/>
      <w:marRight w:val="0"/>
      <w:marTop w:val="0"/>
      <w:marBottom w:val="0"/>
      <w:divBdr>
        <w:top w:val="none" w:sz="0" w:space="0" w:color="auto"/>
        <w:left w:val="none" w:sz="0" w:space="0" w:color="auto"/>
        <w:bottom w:val="none" w:sz="0" w:space="0" w:color="auto"/>
        <w:right w:val="none" w:sz="0" w:space="0" w:color="auto"/>
      </w:divBdr>
    </w:div>
    <w:div w:id="460419615">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788427926">
      <w:bodyDiv w:val="1"/>
      <w:marLeft w:val="0"/>
      <w:marRight w:val="0"/>
      <w:marTop w:val="0"/>
      <w:marBottom w:val="0"/>
      <w:divBdr>
        <w:top w:val="none" w:sz="0" w:space="0" w:color="auto"/>
        <w:left w:val="none" w:sz="0" w:space="0" w:color="auto"/>
        <w:bottom w:val="none" w:sz="0" w:space="0" w:color="auto"/>
        <w:right w:val="none" w:sz="0" w:space="0" w:color="auto"/>
      </w:divBdr>
    </w:div>
    <w:div w:id="880673840">
      <w:bodyDiv w:val="1"/>
      <w:marLeft w:val="0"/>
      <w:marRight w:val="0"/>
      <w:marTop w:val="0"/>
      <w:marBottom w:val="0"/>
      <w:divBdr>
        <w:top w:val="none" w:sz="0" w:space="0" w:color="auto"/>
        <w:left w:val="none" w:sz="0" w:space="0" w:color="auto"/>
        <w:bottom w:val="none" w:sz="0" w:space="0" w:color="auto"/>
        <w:right w:val="none" w:sz="0" w:space="0" w:color="auto"/>
      </w:divBdr>
    </w:div>
    <w:div w:id="970987424">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041133959">
      <w:bodyDiv w:val="1"/>
      <w:marLeft w:val="0"/>
      <w:marRight w:val="0"/>
      <w:marTop w:val="0"/>
      <w:marBottom w:val="0"/>
      <w:divBdr>
        <w:top w:val="none" w:sz="0" w:space="0" w:color="auto"/>
        <w:left w:val="none" w:sz="0" w:space="0" w:color="auto"/>
        <w:bottom w:val="none" w:sz="0" w:space="0" w:color="auto"/>
        <w:right w:val="none" w:sz="0" w:space="0" w:color="auto"/>
      </w:divBdr>
    </w:div>
    <w:div w:id="109860411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6049037">
      <w:bodyDiv w:val="1"/>
      <w:marLeft w:val="0"/>
      <w:marRight w:val="0"/>
      <w:marTop w:val="0"/>
      <w:marBottom w:val="0"/>
      <w:divBdr>
        <w:top w:val="none" w:sz="0" w:space="0" w:color="auto"/>
        <w:left w:val="none" w:sz="0" w:space="0" w:color="auto"/>
        <w:bottom w:val="none" w:sz="0" w:space="0" w:color="auto"/>
        <w:right w:val="none" w:sz="0" w:space="0" w:color="auto"/>
      </w:divBdr>
    </w:div>
    <w:div w:id="1183788746">
      <w:bodyDiv w:val="1"/>
      <w:marLeft w:val="0"/>
      <w:marRight w:val="0"/>
      <w:marTop w:val="0"/>
      <w:marBottom w:val="0"/>
      <w:divBdr>
        <w:top w:val="none" w:sz="0" w:space="0" w:color="auto"/>
        <w:left w:val="none" w:sz="0" w:space="0" w:color="auto"/>
        <w:bottom w:val="none" w:sz="0" w:space="0" w:color="auto"/>
        <w:right w:val="none" w:sz="0" w:space="0" w:color="auto"/>
      </w:divBdr>
    </w:div>
    <w:div w:id="1203128725">
      <w:bodyDiv w:val="1"/>
      <w:marLeft w:val="0"/>
      <w:marRight w:val="0"/>
      <w:marTop w:val="0"/>
      <w:marBottom w:val="0"/>
      <w:divBdr>
        <w:top w:val="none" w:sz="0" w:space="0" w:color="auto"/>
        <w:left w:val="none" w:sz="0" w:space="0" w:color="auto"/>
        <w:bottom w:val="none" w:sz="0" w:space="0" w:color="auto"/>
        <w:right w:val="none" w:sz="0" w:space="0" w:color="auto"/>
      </w:divBdr>
    </w:div>
    <w:div w:id="1254242593">
      <w:bodyDiv w:val="1"/>
      <w:marLeft w:val="0"/>
      <w:marRight w:val="0"/>
      <w:marTop w:val="0"/>
      <w:marBottom w:val="0"/>
      <w:divBdr>
        <w:top w:val="none" w:sz="0" w:space="0" w:color="auto"/>
        <w:left w:val="none" w:sz="0" w:space="0" w:color="auto"/>
        <w:bottom w:val="none" w:sz="0" w:space="0" w:color="auto"/>
        <w:right w:val="none" w:sz="0" w:space="0" w:color="auto"/>
      </w:divBdr>
    </w:div>
    <w:div w:id="1255894051">
      <w:bodyDiv w:val="1"/>
      <w:marLeft w:val="0"/>
      <w:marRight w:val="0"/>
      <w:marTop w:val="0"/>
      <w:marBottom w:val="0"/>
      <w:divBdr>
        <w:top w:val="none" w:sz="0" w:space="0" w:color="auto"/>
        <w:left w:val="none" w:sz="0" w:space="0" w:color="auto"/>
        <w:bottom w:val="none" w:sz="0" w:space="0" w:color="auto"/>
        <w:right w:val="none" w:sz="0" w:space="0" w:color="auto"/>
      </w:divBdr>
    </w:div>
    <w:div w:id="1291591359">
      <w:bodyDiv w:val="1"/>
      <w:marLeft w:val="0"/>
      <w:marRight w:val="0"/>
      <w:marTop w:val="0"/>
      <w:marBottom w:val="0"/>
      <w:divBdr>
        <w:top w:val="none" w:sz="0" w:space="0" w:color="auto"/>
        <w:left w:val="none" w:sz="0" w:space="0" w:color="auto"/>
        <w:bottom w:val="none" w:sz="0" w:space="0" w:color="auto"/>
        <w:right w:val="none" w:sz="0" w:space="0" w:color="auto"/>
      </w:divBdr>
    </w:div>
    <w:div w:id="1326788248">
      <w:bodyDiv w:val="1"/>
      <w:marLeft w:val="0"/>
      <w:marRight w:val="0"/>
      <w:marTop w:val="0"/>
      <w:marBottom w:val="0"/>
      <w:divBdr>
        <w:top w:val="none" w:sz="0" w:space="0" w:color="auto"/>
        <w:left w:val="none" w:sz="0" w:space="0" w:color="auto"/>
        <w:bottom w:val="none" w:sz="0" w:space="0" w:color="auto"/>
        <w:right w:val="none" w:sz="0" w:space="0" w:color="auto"/>
      </w:divBdr>
    </w:div>
    <w:div w:id="1353844009">
      <w:bodyDiv w:val="1"/>
      <w:marLeft w:val="0"/>
      <w:marRight w:val="0"/>
      <w:marTop w:val="0"/>
      <w:marBottom w:val="0"/>
      <w:divBdr>
        <w:top w:val="none" w:sz="0" w:space="0" w:color="auto"/>
        <w:left w:val="none" w:sz="0" w:space="0" w:color="auto"/>
        <w:bottom w:val="none" w:sz="0" w:space="0" w:color="auto"/>
        <w:right w:val="none" w:sz="0" w:space="0" w:color="auto"/>
      </w:divBdr>
    </w:div>
    <w:div w:id="1496728801">
      <w:bodyDiv w:val="1"/>
      <w:marLeft w:val="0"/>
      <w:marRight w:val="0"/>
      <w:marTop w:val="0"/>
      <w:marBottom w:val="0"/>
      <w:divBdr>
        <w:top w:val="none" w:sz="0" w:space="0" w:color="auto"/>
        <w:left w:val="none" w:sz="0" w:space="0" w:color="auto"/>
        <w:bottom w:val="none" w:sz="0" w:space="0" w:color="auto"/>
        <w:right w:val="none" w:sz="0" w:space="0" w:color="auto"/>
      </w:divBdr>
    </w:div>
    <w:div w:id="1528789225">
      <w:bodyDiv w:val="1"/>
      <w:marLeft w:val="0"/>
      <w:marRight w:val="0"/>
      <w:marTop w:val="0"/>
      <w:marBottom w:val="0"/>
      <w:divBdr>
        <w:top w:val="none" w:sz="0" w:space="0" w:color="auto"/>
        <w:left w:val="none" w:sz="0" w:space="0" w:color="auto"/>
        <w:bottom w:val="none" w:sz="0" w:space="0" w:color="auto"/>
        <w:right w:val="none" w:sz="0" w:space="0" w:color="auto"/>
      </w:divBdr>
    </w:div>
    <w:div w:id="1555237032">
      <w:bodyDiv w:val="1"/>
      <w:marLeft w:val="0"/>
      <w:marRight w:val="0"/>
      <w:marTop w:val="0"/>
      <w:marBottom w:val="0"/>
      <w:divBdr>
        <w:top w:val="none" w:sz="0" w:space="0" w:color="auto"/>
        <w:left w:val="none" w:sz="0" w:space="0" w:color="auto"/>
        <w:bottom w:val="none" w:sz="0" w:space="0" w:color="auto"/>
        <w:right w:val="none" w:sz="0" w:space="0" w:color="auto"/>
      </w:divBdr>
    </w:div>
    <w:div w:id="1561868673">
      <w:bodyDiv w:val="1"/>
      <w:marLeft w:val="0"/>
      <w:marRight w:val="0"/>
      <w:marTop w:val="0"/>
      <w:marBottom w:val="0"/>
      <w:divBdr>
        <w:top w:val="none" w:sz="0" w:space="0" w:color="auto"/>
        <w:left w:val="none" w:sz="0" w:space="0" w:color="auto"/>
        <w:bottom w:val="none" w:sz="0" w:space="0" w:color="auto"/>
        <w:right w:val="none" w:sz="0" w:space="0" w:color="auto"/>
      </w:divBdr>
    </w:div>
    <w:div w:id="1571235208">
      <w:bodyDiv w:val="1"/>
      <w:marLeft w:val="0"/>
      <w:marRight w:val="0"/>
      <w:marTop w:val="0"/>
      <w:marBottom w:val="0"/>
      <w:divBdr>
        <w:top w:val="none" w:sz="0" w:space="0" w:color="auto"/>
        <w:left w:val="none" w:sz="0" w:space="0" w:color="auto"/>
        <w:bottom w:val="none" w:sz="0" w:space="0" w:color="auto"/>
        <w:right w:val="none" w:sz="0" w:space="0" w:color="auto"/>
      </w:divBdr>
    </w:div>
    <w:div w:id="1589079504">
      <w:bodyDiv w:val="1"/>
      <w:marLeft w:val="0"/>
      <w:marRight w:val="0"/>
      <w:marTop w:val="0"/>
      <w:marBottom w:val="0"/>
      <w:divBdr>
        <w:top w:val="none" w:sz="0" w:space="0" w:color="auto"/>
        <w:left w:val="none" w:sz="0" w:space="0" w:color="auto"/>
        <w:bottom w:val="none" w:sz="0" w:space="0" w:color="auto"/>
        <w:right w:val="none" w:sz="0" w:space="0" w:color="auto"/>
      </w:divBdr>
    </w:div>
    <w:div w:id="1635986411">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63777313">
      <w:bodyDiv w:val="1"/>
      <w:marLeft w:val="0"/>
      <w:marRight w:val="0"/>
      <w:marTop w:val="0"/>
      <w:marBottom w:val="0"/>
      <w:divBdr>
        <w:top w:val="none" w:sz="0" w:space="0" w:color="auto"/>
        <w:left w:val="none" w:sz="0" w:space="0" w:color="auto"/>
        <w:bottom w:val="none" w:sz="0" w:space="0" w:color="auto"/>
        <w:right w:val="none" w:sz="0" w:space="0" w:color="auto"/>
      </w:divBdr>
    </w:div>
    <w:div w:id="1813908501">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852600526">
      <w:bodyDiv w:val="1"/>
      <w:marLeft w:val="0"/>
      <w:marRight w:val="0"/>
      <w:marTop w:val="0"/>
      <w:marBottom w:val="0"/>
      <w:divBdr>
        <w:top w:val="none" w:sz="0" w:space="0" w:color="auto"/>
        <w:left w:val="none" w:sz="0" w:space="0" w:color="auto"/>
        <w:bottom w:val="none" w:sz="0" w:space="0" w:color="auto"/>
        <w:right w:val="none" w:sz="0" w:space="0" w:color="auto"/>
      </w:divBdr>
    </w:div>
    <w:div w:id="1934196719">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1947881319">
      <w:bodyDiv w:val="1"/>
      <w:marLeft w:val="0"/>
      <w:marRight w:val="0"/>
      <w:marTop w:val="0"/>
      <w:marBottom w:val="0"/>
      <w:divBdr>
        <w:top w:val="none" w:sz="0" w:space="0" w:color="auto"/>
        <w:left w:val="none" w:sz="0" w:space="0" w:color="auto"/>
        <w:bottom w:val="none" w:sz="0" w:space="0" w:color="auto"/>
        <w:right w:val="none" w:sz="0" w:space="0" w:color="auto"/>
      </w:divBdr>
    </w:div>
    <w:div w:id="1975402657">
      <w:bodyDiv w:val="1"/>
      <w:marLeft w:val="0"/>
      <w:marRight w:val="0"/>
      <w:marTop w:val="0"/>
      <w:marBottom w:val="0"/>
      <w:divBdr>
        <w:top w:val="none" w:sz="0" w:space="0" w:color="auto"/>
        <w:left w:val="none" w:sz="0" w:space="0" w:color="auto"/>
        <w:bottom w:val="none" w:sz="0" w:space="0" w:color="auto"/>
        <w:right w:val="none" w:sz="0" w:space="0" w:color="auto"/>
      </w:divBdr>
    </w:div>
    <w:div w:id="2002345893">
      <w:bodyDiv w:val="1"/>
      <w:marLeft w:val="0"/>
      <w:marRight w:val="0"/>
      <w:marTop w:val="0"/>
      <w:marBottom w:val="0"/>
      <w:divBdr>
        <w:top w:val="none" w:sz="0" w:space="0" w:color="auto"/>
        <w:left w:val="none" w:sz="0" w:space="0" w:color="auto"/>
        <w:bottom w:val="none" w:sz="0" w:space="0" w:color="auto"/>
        <w:right w:val="none" w:sz="0" w:space="0" w:color="auto"/>
      </w:divBdr>
    </w:div>
    <w:div w:id="200809461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1044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A8E95-FFB0-4651-A069-030956CF5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1616</Words>
  <Characters>9535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33</cp:revision>
  <dcterms:created xsi:type="dcterms:W3CDTF">2021-02-03T10:14:00Z</dcterms:created>
  <dcterms:modified xsi:type="dcterms:W3CDTF">2021-04-07T21:36:00Z</dcterms:modified>
</cp:coreProperties>
</file>