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397" w:rsidRDefault="00A21397" w:rsidP="00A21397">
      <w:pPr>
        <w:widowControl w:val="0"/>
        <w:tabs>
          <w:tab w:val="left" w:pos="-1438"/>
          <w:tab w:val="left" w:pos="-718"/>
          <w:tab w:val="left" w:pos="2"/>
          <w:tab w:val="left" w:pos="722"/>
          <w:tab w:val="left" w:pos="1442"/>
          <w:tab w:val="left" w:pos="2162"/>
          <w:tab w:val="left" w:pos="2882"/>
          <w:tab w:val="left" w:pos="3602"/>
          <w:tab w:val="left" w:pos="4322"/>
          <w:tab w:val="left" w:pos="5042"/>
          <w:tab w:val="left" w:pos="5762"/>
          <w:tab w:val="left" w:pos="6482"/>
          <w:tab w:val="left" w:pos="7202"/>
          <w:tab w:val="left" w:pos="7922"/>
          <w:tab w:val="left" w:pos="8642"/>
        </w:tabs>
        <w:jc w:val="both"/>
      </w:pPr>
    </w:p>
    <w:p w:rsidR="00A21397" w:rsidRDefault="00A21397" w:rsidP="00A21397">
      <w:pPr>
        <w:widowControl w:val="0"/>
        <w:tabs>
          <w:tab w:val="left" w:pos="-1438"/>
          <w:tab w:val="left" w:pos="-718"/>
          <w:tab w:val="left" w:pos="2"/>
          <w:tab w:val="left" w:pos="722"/>
          <w:tab w:val="left" w:pos="1442"/>
          <w:tab w:val="left" w:pos="2162"/>
          <w:tab w:val="left" w:pos="2882"/>
          <w:tab w:val="left" w:pos="3602"/>
          <w:tab w:val="left" w:pos="4322"/>
          <w:tab w:val="left" w:pos="5042"/>
          <w:tab w:val="left" w:pos="5762"/>
          <w:tab w:val="left" w:pos="6482"/>
          <w:tab w:val="left" w:pos="7202"/>
          <w:tab w:val="left" w:pos="7922"/>
          <w:tab w:val="left" w:pos="8642"/>
        </w:tabs>
        <w:jc w:val="both"/>
      </w:pPr>
    </w:p>
    <w:p w:rsidR="00A21397" w:rsidRDefault="00A21397" w:rsidP="00A21397">
      <w:pPr>
        <w:widowControl w:val="0"/>
        <w:tabs>
          <w:tab w:val="left" w:pos="-1438"/>
          <w:tab w:val="left" w:pos="-718"/>
          <w:tab w:val="left" w:pos="2"/>
          <w:tab w:val="left" w:pos="722"/>
          <w:tab w:val="left" w:pos="1442"/>
          <w:tab w:val="left" w:pos="2162"/>
          <w:tab w:val="left" w:pos="2882"/>
          <w:tab w:val="left" w:pos="3602"/>
          <w:tab w:val="left" w:pos="4322"/>
          <w:tab w:val="left" w:pos="5042"/>
          <w:tab w:val="left" w:pos="5762"/>
          <w:tab w:val="left" w:pos="6482"/>
          <w:tab w:val="left" w:pos="7202"/>
          <w:tab w:val="left" w:pos="7922"/>
          <w:tab w:val="left" w:pos="8642"/>
        </w:tabs>
        <w:jc w:val="both"/>
      </w:pPr>
    </w:p>
    <w:p w:rsidR="00A21397" w:rsidRDefault="00A21397" w:rsidP="00A21397">
      <w:pPr>
        <w:widowControl w:val="0"/>
        <w:tabs>
          <w:tab w:val="left" w:pos="-1438"/>
          <w:tab w:val="left" w:pos="-718"/>
          <w:tab w:val="left" w:pos="2"/>
          <w:tab w:val="left" w:pos="722"/>
          <w:tab w:val="left" w:pos="1442"/>
          <w:tab w:val="left" w:pos="2162"/>
          <w:tab w:val="left" w:pos="2882"/>
          <w:tab w:val="left" w:pos="3602"/>
          <w:tab w:val="left" w:pos="4322"/>
          <w:tab w:val="left" w:pos="5042"/>
          <w:tab w:val="left" w:pos="5762"/>
          <w:tab w:val="left" w:pos="6482"/>
          <w:tab w:val="left" w:pos="7202"/>
          <w:tab w:val="left" w:pos="7922"/>
          <w:tab w:val="left" w:pos="8642"/>
        </w:tabs>
        <w:jc w:val="both"/>
      </w:pPr>
    </w:p>
    <w:p w:rsidR="00A21397" w:rsidRDefault="00A21397" w:rsidP="00A21397">
      <w:pPr>
        <w:widowControl w:val="0"/>
        <w:tabs>
          <w:tab w:val="left" w:pos="-1438"/>
          <w:tab w:val="left" w:pos="-718"/>
          <w:tab w:val="left" w:pos="2"/>
          <w:tab w:val="left" w:pos="722"/>
          <w:tab w:val="left" w:pos="1442"/>
          <w:tab w:val="left" w:pos="2162"/>
          <w:tab w:val="left" w:pos="2882"/>
          <w:tab w:val="left" w:pos="3602"/>
          <w:tab w:val="left" w:pos="4322"/>
          <w:tab w:val="left" w:pos="5042"/>
          <w:tab w:val="left" w:pos="5762"/>
          <w:tab w:val="left" w:pos="6482"/>
          <w:tab w:val="left" w:pos="7202"/>
          <w:tab w:val="left" w:pos="7922"/>
          <w:tab w:val="left" w:pos="8642"/>
        </w:tabs>
        <w:jc w:val="both"/>
      </w:pPr>
    </w:p>
    <w:p w:rsidR="00A21397" w:rsidRDefault="00A21397" w:rsidP="00A21397">
      <w:pPr>
        <w:widowControl w:val="0"/>
        <w:tabs>
          <w:tab w:val="left" w:pos="-1438"/>
          <w:tab w:val="left" w:pos="-718"/>
          <w:tab w:val="left" w:pos="2"/>
          <w:tab w:val="left" w:pos="722"/>
          <w:tab w:val="left" w:pos="1442"/>
          <w:tab w:val="left" w:pos="2162"/>
          <w:tab w:val="left" w:pos="2882"/>
          <w:tab w:val="left" w:pos="3602"/>
          <w:tab w:val="left" w:pos="4322"/>
          <w:tab w:val="left" w:pos="5042"/>
          <w:tab w:val="left" w:pos="5762"/>
          <w:tab w:val="left" w:pos="6482"/>
          <w:tab w:val="left" w:pos="7202"/>
          <w:tab w:val="left" w:pos="7922"/>
          <w:tab w:val="left" w:pos="8642"/>
        </w:tabs>
        <w:jc w:val="both"/>
      </w:pPr>
    </w:p>
    <w:tbl>
      <w:tblPr>
        <w:tblW w:w="9214" w:type="dxa"/>
        <w:tblInd w:w="12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9214"/>
      </w:tblGrid>
      <w:tr w:rsidR="00A21397" w:rsidTr="00303BF7">
        <w:tc>
          <w:tcPr>
            <w:tcW w:w="9214" w:type="dxa"/>
            <w:shd w:val="pct20" w:color="auto" w:fill="FFFFFF"/>
          </w:tcPr>
          <w:p w:rsidR="00A21397" w:rsidRDefault="00A21397" w:rsidP="00303BF7">
            <w:pPr>
              <w:widowControl w:val="0"/>
              <w:spacing w:line="120" w:lineRule="exact"/>
              <w:jc w:val="both"/>
              <w:rPr>
                <w:b/>
                <w:i/>
                <w:sz w:val="48"/>
              </w:rPr>
            </w:pPr>
          </w:p>
          <w:p w:rsidR="00A21397" w:rsidRDefault="00B05D1E" w:rsidP="00303BF7">
            <w:pPr>
              <w:widowControl w:val="0"/>
              <w:tabs>
                <w:tab w:val="left" w:pos="-1438"/>
                <w:tab w:val="left" w:pos="-718"/>
                <w:tab w:val="left" w:pos="2"/>
                <w:tab w:val="left" w:pos="722"/>
                <w:tab w:val="left" w:pos="1442"/>
                <w:tab w:val="left" w:pos="2162"/>
                <w:tab w:val="left" w:pos="2882"/>
                <w:tab w:val="left" w:pos="3602"/>
                <w:tab w:val="left" w:pos="4322"/>
                <w:tab w:val="left" w:pos="5042"/>
                <w:tab w:val="left" w:pos="5762"/>
                <w:tab w:val="left" w:pos="6482"/>
                <w:tab w:val="left" w:pos="7202"/>
                <w:tab w:val="left" w:pos="7922"/>
                <w:tab w:val="left" w:pos="8642"/>
              </w:tabs>
              <w:spacing w:after="58"/>
              <w:jc w:val="center"/>
              <w:rPr>
                <w:rFonts w:ascii="Arial" w:hAnsi="Arial" w:cs="Arial"/>
                <w:b/>
                <w:smallCaps/>
                <w:sz w:val="56"/>
              </w:rPr>
            </w:pPr>
            <w:r>
              <w:rPr>
                <w:rFonts w:ascii="Arial" w:hAnsi="Arial" w:cs="Arial"/>
                <w:b/>
                <w:smallCaps/>
                <w:sz w:val="52"/>
                <w:szCs w:val="52"/>
              </w:rPr>
              <w:t xml:space="preserve">A1. </w:t>
            </w:r>
            <w:proofErr w:type="gramStart"/>
            <w:r w:rsidR="009E2A26">
              <w:rPr>
                <w:rFonts w:ascii="Arial" w:hAnsi="Arial" w:cs="Arial"/>
                <w:b/>
                <w:smallCaps/>
                <w:sz w:val="56"/>
              </w:rPr>
              <w:t xml:space="preserve">průvodní </w:t>
            </w:r>
            <w:r w:rsidR="00A21397">
              <w:rPr>
                <w:rFonts w:ascii="Arial" w:hAnsi="Arial" w:cs="Arial"/>
                <w:b/>
                <w:smallCaps/>
                <w:sz w:val="56"/>
              </w:rPr>
              <w:t xml:space="preserve"> zpráva</w:t>
            </w:r>
            <w:proofErr w:type="gramEnd"/>
          </w:p>
        </w:tc>
      </w:tr>
    </w:tbl>
    <w:p w:rsidR="00A21397" w:rsidRDefault="00A21397" w:rsidP="00A21397">
      <w:pPr>
        <w:widowControl w:val="0"/>
        <w:tabs>
          <w:tab w:val="left" w:pos="-1438"/>
          <w:tab w:val="left" w:pos="-718"/>
          <w:tab w:val="left" w:pos="2"/>
          <w:tab w:val="left" w:pos="722"/>
          <w:tab w:val="left" w:pos="1442"/>
          <w:tab w:val="left" w:pos="2162"/>
          <w:tab w:val="left" w:pos="2882"/>
          <w:tab w:val="left" w:pos="3602"/>
          <w:tab w:val="left" w:pos="4322"/>
          <w:tab w:val="left" w:pos="5042"/>
          <w:tab w:val="left" w:pos="5762"/>
          <w:tab w:val="left" w:pos="6482"/>
          <w:tab w:val="left" w:pos="7202"/>
          <w:tab w:val="left" w:pos="7922"/>
          <w:tab w:val="left" w:pos="8642"/>
        </w:tabs>
        <w:jc w:val="both"/>
      </w:pPr>
    </w:p>
    <w:p w:rsidR="00A21397" w:rsidRDefault="00A21397" w:rsidP="00A21397">
      <w:pPr>
        <w:pStyle w:val="Zkladntext2"/>
        <w:spacing w:after="240"/>
        <w:jc w:val="both"/>
        <w:rPr>
          <w:sz w:val="56"/>
          <w:szCs w:val="56"/>
        </w:rPr>
      </w:pPr>
    </w:p>
    <w:p w:rsidR="00480F81" w:rsidRPr="00C476F6" w:rsidRDefault="00480F81" w:rsidP="00480F81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center"/>
        <w:rPr>
          <w:rFonts w:ascii="Times New Roman" w:eastAsia="Times New Roman" w:hAnsi="Times New Roman" w:cs="Times New Roman"/>
          <w:b/>
          <w:caps/>
          <w:noProof/>
          <w:sz w:val="48"/>
          <w:szCs w:val="48"/>
          <w:lang w:eastAsia="cs-CZ"/>
        </w:rPr>
      </w:pPr>
      <w:r w:rsidRPr="00C476F6">
        <w:rPr>
          <w:rFonts w:ascii="Times New Roman" w:eastAsia="Times New Roman" w:hAnsi="Times New Roman" w:cs="Times New Roman"/>
          <w:b/>
          <w:caps/>
          <w:noProof/>
          <w:sz w:val="48"/>
          <w:szCs w:val="48"/>
          <w:lang w:eastAsia="cs-CZ"/>
        </w:rPr>
        <w:t xml:space="preserve">Realizace úspor energie – </w:t>
      </w:r>
      <w:r w:rsidR="008279E4">
        <w:rPr>
          <w:rFonts w:ascii="Times New Roman" w:eastAsia="Times New Roman" w:hAnsi="Times New Roman" w:cs="Times New Roman"/>
          <w:b/>
          <w:caps/>
          <w:noProof/>
          <w:sz w:val="48"/>
          <w:szCs w:val="48"/>
          <w:lang w:eastAsia="cs-CZ"/>
        </w:rPr>
        <w:pict>
          <v:shape id="_x0000_s1031" style="position:absolute;left:0;text-align:left;margin-left:55.6pt;margin-top:47.95pt;width:3.35pt;height:.85pt;z-index:251660288;mso-wrap-distance-left:9pt;mso-wrap-distance-top:0;mso-wrap-distance-right:9pt;mso-wrap-distance-bottom:0;mso-position-horizontal:absolute;mso-position-horizontal-relative:text;mso-position-vertical:absolute;mso-position-vertical-relative:text;v-text-anchor:top" coordsize="67,17" o:allowincell="f" path="m,17hdc22,11,67,,67,,67,,22,11,,17xe" filled="f" stroked="f">
            <v:path arrowok="t"/>
          </v:shape>
        </w:pict>
      </w:r>
      <w:r>
        <w:rPr>
          <w:rFonts w:ascii="Times New Roman" w:eastAsia="Times New Roman" w:hAnsi="Times New Roman" w:cs="Times New Roman"/>
          <w:b/>
          <w:caps/>
          <w:noProof/>
          <w:sz w:val="48"/>
          <w:szCs w:val="48"/>
          <w:lang w:eastAsia="cs-CZ"/>
        </w:rPr>
        <w:t>LDN RYBITVÍ</w:t>
      </w:r>
    </w:p>
    <w:p w:rsidR="00480F81" w:rsidRDefault="00480F81" w:rsidP="00480F81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center"/>
        <w:rPr>
          <w:rFonts w:ascii="Times New Roman" w:eastAsia="Times New Roman" w:hAnsi="Times New Roman" w:cs="Times New Roman"/>
          <w:b/>
          <w:noProof/>
          <w:sz w:val="36"/>
          <w:szCs w:val="36"/>
          <w:lang w:eastAsia="cs-CZ"/>
        </w:rPr>
      </w:pPr>
    </w:p>
    <w:p w:rsidR="00480F81" w:rsidRDefault="00480F81" w:rsidP="00480F81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center"/>
        <w:rPr>
          <w:rFonts w:ascii="Times New Roman" w:eastAsia="Times New Roman" w:hAnsi="Times New Roman" w:cs="Times New Roman"/>
          <w:b/>
          <w:noProof/>
          <w:sz w:val="36"/>
          <w:szCs w:val="36"/>
          <w:lang w:eastAsia="cs-CZ"/>
        </w:rPr>
      </w:pPr>
    </w:p>
    <w:p w:rsidR="00480F81" w:rsidRPr="003B0B5B" w:rsidRDefault="00480F81" w:rsidP="00480F81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center"/>
        <w:rPr>
          <w:rFonts w:ascii="Times New Roman" w:eastAsia="Times New Roman" w:hAnsi="Times New Roman" w:cs="Times New Roman"/>
          <w:b/>
          <w:noProof/>
          <w:sz w:val="40"/>
          <w:szCs w:val="40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noProof/>
          <w:sz w:val="40"/>
          <w:szCs w:val="40"/>
          <w:u w:val="single"/>
          <w:lang w:eastAsia="cs-CZ"/>
        </w:rPr>
        <w:t>Budovy v areálu Léčebny dlouhodobě nemocných v Rybitví</w:t>
      </w:r>
    </w:p>
    <w:p w:rsidR="00480F81" w:rsidRDefault="00480F81" w:rsidP="00480F81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both"/>
        <w:rPr>
          <w:sz w:val="24"/>
        </w:rPr>
      </w:pPr>
    </w:p>
    <w:p w:rsidR="00480F81" w:rsidRDefault="00480F81" w:rsidP="00480F81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both"/>
        <w:rPr>
          <w:sz w:val="24"/>
        </w:rPr>
      </w:pPr>
    </w:p>
    <w:p w:rsidR="00480F81" w:rsidRDefault="00480F81" w:rsidP="00480F81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both"/>
        <w:rPr>
          <w:sz w:val="24"/>
        </w:rPr>
      </w:pPr>
    </w:p>
    <w:p w:rsidR="00480F81" w:rsidRDefault="00480F81" w:rsidP="00480F81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both"/>
        <w:rPr>
          <w:sz w:val="24"/>
        </w:rPr>
      </w:pPr>
    </w:p>
    <w:p w:rsidR="00480F81" w:rsidRDefault="00480F81" w:rsidP="00480F81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both"/>
        <w:rPr>
          <w:sz w:val="24"/>
        </w:rPr>
      </w:pPr>
    </w:p>
    <w:p w:rsidR="00480F81" w:rsidRDefault="00480F81" w:rsidP="00480F81">
      <w:pPr>
        <w:pStyle w:val="Bezmezer"/>
        <w:ind w:left="142"/>
        <w:jc w:val="both"/>
      </w:pPr>
      <w:r>
        <w:rPr>
          <w:sz w:val="24"/>
        </w:rPr>
        <w:t>Čáslav, červen 2013</w:t>
      </w:r>
      <w:r>
        <w:rPr>
          <w:sz w:val="24"/>
        </w:rPr>
        <w:tab/>
        <w:t>Projektant:</w:t>
      </w:r>
      <w:r>
        <w:rPr>
          <w:sz w:val="24"/>
        </w:rPr>
        <w:tab/>
      </w:r>
      <w:r>
        <w:t>Realitní a stavební společnost s r.o.</w:t>
      </w:r>
    </w:p>
    <w:p w:rsidR="00480F81" w:rsidRDefault="00480F81" w:rsidP="00480F81">
      <w:pPr>
        <w:pStyle w:val="Bezmezer"/>
        <w:ind w:left="142"/>
        <w:jc w:val="both"/>
      </w:pPr>
      <w:r>
        <w:tab/>
      </w:r>
      <w:r>
        <w:tab/>
      </w:r>
      <w:r>
        <w:tab/>
      </w:r>
      <w:r>
        <w:tab/>
      </w:r>
      <w:r>
        <w:tab/>
        <w:t xml:space="preserve">Konviktská </w:t>
      </w:r>
      <w:proofErr w:type="gramStart"/>
      <w:r>
        <w:t>24,  110 00</w:t>
      </w:r>
      <w:proofErr w:type="gramEnd"/>
      <w:r>
        <w:t xml:space="preserve">  Praha 1</w:t>
      </w:r>
    </w:p>
    <w:p w:rsidR="00480F81" w:rsidRDefault="00480F81" w:rsidP="00480F81">
      <w:pPr>
        <w:pStyle w:val="Bezmezer"/>
        <w:ind w:left="142"/>
        <w:jc w:val="both"/>
      </w:pPr>
      <w:r>
        <w:tab/>
      </w:r>
      <w:r>
        <w:tab/>
      </w:r>
      <w:r>
        <w:tab/>
      </w:r>
      <w:r>
        <w:tab/>
      </w:r>
      <w:r>
        <w:tab/>
        <w:t xml:space="preserve">Doručovací adresa:  </w:t>
      </w:r>
      <w:proofErr w:type="spellStart"/>
      <w:r>
        <w:t>Žitenická</w:t>
      </w:r>
      <w:proofErr w:type="spellEnd"/>
      <w:r>
        <w:t xml:space="preserve"> </w:t>
      </w:r>
      <w:proofErr w:type="gramStart"/>
      <w:r>
        <w:t>10,  286 01</w:t>
      </w:r>
      <w:proofErr w:type="gramEnd"/>
      <w:r>
        <w:t xml:space="preserve">  Čáslav</w:t>
      </w:r>
    </w:p>
    <w:p w:rsidR="00480F81" w:rsidRDefault="00480F81" w:rsidP="00480F81">
      <w:pPr>
        <w:pStyle w:val="Bezmezer"/>
        <w:ind w:left="142"/>
        <w:jc w:val="both"/>
      </w:pPr>
      <w:r>
        <w:tab/>
      </w:r>
      <w:r>
        <w:tab/>
      </w:r>
      <w:r>
        <w:tab/>
      </w:r>
      <w:r>
        <w:tab/>
      </w:r>
      <w:r>
        <w:tab/>
      </w:r>
      <w:proofErr w:type="gramStart"/>
      <w:r>
        <w:t>Tel.:  327 316 331</w:t>
      </w:r>
      <w:proofErr w:type="gramEnd"/>
    </w:p>
    <w:p w:rsidR="00480F81" w:rsidRDefault="00480F81" w:rsidP="00480F81">
      <w:pPr>
        <w:pStyle w:val="Bezmezer"/>
        <w:ind w:left="142"/>
        <w:jc w:val="both"/>
      </w:pPr>
      <w:r>
        <w:tab/>
      </w:r>
      <w:r>
        <w:tab/>
      </w:r>
      <w:r>
        <w:tab/>
      </w:r>
      <w:r>
        <w:tab/>
      </w:r>
      <w:r>
        <w:tab/>
        <w:t xml:space="preserve">e-mail:  </w:t>
      </w:r>
      <w:hyperlink r:id="rId7" w:history="1">
        <w:r w:rsidRPr="00097FD9">
          <w:rPr>
            <w:rStyle w:val="Hypertextovodkaz"/>
          </w:rPr>
          <w:t>info@realitnicaslav.cz</w:t>
        </w:r>
      </w:hyperlink>
    </w:p>
    <w:p w:rsidR="00480F81" w:rsidRDefault="00480F81" w:rsidP="00480F81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both"/>
        <w:rPr>
          <w:sz w:val="24"/>
        </w:rPr>
      </w:pPr>
      <w:r>
        <w:rPr>
          <w:sz w:val="24"/>
        </w:rPr>
        <w:lastRenderedPageBreak/>
        <w:tab/>
      </w:r>
    </w:p>
    <w:p w:rsidR="00480F81" w:rsidRPr="003D16FB" w:rsidRDefault="00480F81" w:rsidP="00480F81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3D16FB">
        <w:rPr>
          <w:b/>
          <w:u w:val="single"/>
        </w:rPr>
        <w:t>Základní údaje o stavbě</w:t>
      </w:r>
    </w:p>
    <w:p w:rsidR="00480F81" w:rsidRPr="00C476F6" w:rsidRDefault="00480F81" w:rsidP="00480F81">
      <w:pPr>
        <w:widowControl w:val="0"/>
        <w:tabs>
          <w:tab w:val="left" w:pos="-1438"/>
          <w:tab w:val="left" w:pos="-718"/>
          <w:tab w:val="left" w:pos="2"/>
          <w:tab w:val="right" w:pos="8222"/>
        </w:tabs>
        <w:ind w:left="2100" w:hanging="2100"/>
        <w:rPr>
          <w:b/>
        </w:rPr>
      </w:pPr>
      <w:r>
        <w:rPr>
          <w:b/>
        </w:rPr>
        <w:t xml:space="preserve">Název stavby: </w:t>
      </w:r>
      <w:r>
        <w:rPr>
          <w:b/>
        </w:rPr>
        <w:tab/>
      </w:r>
      <w:r w:rsidRPr="00C476F6">
        <w:rPr>
          <w:b/>
        </w:rPr>
        <w:t xml:space="preserve">Realizace úspor energie – </w:t>
      </w:r>
      <w:r w:rsidR="008279E4" w:rsidRPr="008279E4">
        <w:rPr>
          <w:rFonts w:ascii="Times New Roman" w:eastAsia="Times New Roman" w:hAnsi="Times New Roman" w:cs="Times New Roman"/>
          <w:b/>
          <w:caps/>
          <w:noProof/>
          <w:sz w:val="48"/>
          <w:szCs w:val="48"/>
          <w:lang w:eastAsia="cs-CZ"/>
        </w:rPr>
        <w:pict>
          <v:shape id="_x0000_s1032" style="position:absolute;left:0;text-align:left;margin-left:55.6pt;margin-top:47.95pt;width:3.35pt;height:.85pt;z-index:251661312;mso-wrap-distance-left:9pt;mso-wrap-distance-top:0;mso-wrap-distance-right:9pt;mso-wrap-distance-bottom:0;mso-position-horizontal:absolute;mso-position-horizontal-relative:text;mso-position-vertical:absolute;mso-position-vertical-relative:text;v-text-anchor:top" coordsize="67,17" o:allowincell="f" path="m,17hdc22,11,67,,67,,67,,22,11,,17xe" filled="f" stroked="f">
            <v:path arrowok="t"/>
          </v:shape>
        </w:pict>
      </w:r>
      <w:r>
        <w:rPr>
          <w:b/>
        </w:rPr>
        <w:t>LDN Rybitví</w:t>
      </w:r>
    </w:p>
    <w:p w:rsidR="00480F81" w:rsidRDefault="00480F81" w:rsidP="00480F81">
      <w:pPr>
        <w:pStyle w:val="Bezmezer"/>
        <w:jc w:val="both"/>
      </w:pPr>
      <w:r>
        <w:t>Místo stavby:</w:t>
      </w:r>
      <w:r>
        <w:tab/>
      </w:r>
      <w:r>
        <w:tab/>
      </w:r>
      <w:r w:rsidRPr="00E77CF9">
        <w:t xml:space="preserve">LDN Rybitví, </w:t>
      </w:r>
    </w:p>
    <w:p w:rsidR="00480F81" w:rsidRDefault="00480F81" w:rsidP="00480F81">
      <w:pPr>
        <w:pStyle w:val="Bezmezer"/>
        <w:ind w:left="1416" w:firstLine="708"/>
        <w:jc w:val="both"/>
      </w:pPr>
      <w:r w:rsidRPr="00E77CF9">
        <w:t xml:space="preserve">Činžovních domů 140, </w:t>
      </w:r>
    </w:p>
    <w:p w:rsidR="00480F81" w:rsidRDefault="00480F81" w:rsidP="00480F81">
      <w:pPr>
        <w:pStyle w:val="Bezmezer"/>
        <w:ind w:left="1416" w:firstLine="708"/>
        <w:jc w:val="both"/>
      </w:pPr>
      <w:r w:rsidRPr="00E77CF9">
        <w:t xml:space="preserve">533 54 Rybitví </w:t>
      </w:r>
    </w:p>
    <w:p w:rsidR="00480F81" w:rsidRDefault="00480F81" w:rsidP="00480F81">
      <w:pPr>
        <w:pStyle w:val="Bezmezer"/>
        <w:ind w:left="1416" w:firstLine="708"/>
        <w:jc w:val="both"/>
      </w:pPr>
    </w:p>
    <w:p w:rsidR="00480F81" w:rsidRDefault="00480F81" w:rsidP="00480F81">
      <w:pPr>
        <w:pStyle w:val="Bezmezer"/>
        <w:jc w:val="both"/>
      </w:pPr>
      <w:r>
        <w:t>Objednatel:</w:t>
      </w:r>
      <w:r>
        <w:tab/>
      </w:r>
      <w:r>
        <w:tab/>
      </w:r>
      <w:r w:rsidRPr="00E77CF9">
        <w:t xml:space="preserve">Léčebna dlouhodobě nemocných Rybitví, </w:t>
      </w:r>
    </w:p>
    <w:p w:rsidR="00480F81" w:rsidRDefault="00480F81" w:rsidP="00480F81">
      <w:pPr>
        <w:pStyle w:val="Bezmezer"/>
        <w:ind w:left="1416" w:firstLine="708"/>
        <w:jc w:val="both"/>
      </w:pPr>
      <w:r w:rsidRPr="00E77CF9">
        <w:t xml:space="preserve">Činžovních domů 140, </w:t>
      </w:r>
    </w:p>
    <w:p w:rsidR="00480F81" w:rsidRDefault="00480F81" w:rsidP="00480F81">
      <w:pPr>
        <w:pStyle w:val="Bezmezer"/>
        <w:ind w:left="1416" w:firstLine="708"/>
        <w:jc w:val="both"/>
      </w:pPr>
      <w:r>
        <w:t>533 54 Rybitví</w:t>
      </w:r>
    </w:p>
    <w:p w:rsidR="00480F81" w:rsidRDefault="00480F81" w:rsidP="00480F81">
      <w:pPr>
        <w:pStyle w:val="Bezmezer"/>
        <w:ind w:left="1416" w:firstLine="708"/>
        <w:jc w:val="both"/>
      </w:pPr>
      <w:r w:rsidRPr="00E77CF9">
        <w:t>IČ: 00190560</w:t>
      </w:r>
    </w:p>
    <w:p w:rsidR="00480F81" w:rsidRDefault="00480F81" w:rsidP="00480F81">
      <w:pPr>
        <w:pStyle w:val="Bezmezer"/>
        <w:jc w:val="both"/>
      </w:pPr>
    </w:p>
    <w:p w:rsidR="00480F81" w:rsidRDefault="00480F81" w:rsidP="00480F81">
      <w:pPr>
        <w:pStyle w:val="Bezmezer"/>
        <w:jc w:val="both"/>
      </w:pPr>
      <w:r>
        <w:t>Investor:</w:t>
      </w:r>
      <w:r>
        <w:tab/>
      </w:r>
      <w:r>
        <w:tab/>
      </w:r>
      <w:r w:rsidRPr="00303BF7">
        <w:t xml:space="preserve">PARDUBICKÝ KRAJ - </w:t>
      </w:r>
      <w:r>
        <w:t>Krajský úřad Pardubického kraje</w:t>
      </w:r>
    </w:p>
    <w:p w:rsidR="00480F81" w:rsidRDefault="00480F81" w:rsidP="00480F81">
      <w:pPr>
        <w:pStyle w:val="Bezmezer"/>
        <w:jc w:val="both"/>
      </w:pPr>
      <w:r w:rsidRPr="00303BF7">
        <w:t xml:space="preserve"> </w:t>
      </w:r>
      <w:r>
        <w:tab/>
      </w:r>
      <w:r>
        <w:tab/>
      </w:r>
      <w:r>
        <w:tab/>
      </w:r>
      <w:r w:rsidRPr="00303BF7">
        <w:t>Komenského nám. 125</w:t>
      </w:r>
    </w:p>
    <w:p w:rsidR="00480F81" w:rsidRDefault="00480F81" w:rsidP="00480F81">
      <w:pPr>
        <w:pStyle w:val="Bezmezer"/>
        <w:ind w:left="1416" w:firstLine="708"/>
        <w:jc w:val="both"/>
      </w:pPr>
      <w:r>
        <w:t>532 11 Pardubice</w:t>
      </w:r>
    </w:p>
    <w:p w:rsidR="00480F81" w:rsidRDefault="00480F81" w:rsidP="00480F81">
      <w:pPr>
        <w:pStyle w:val="Bezmezer"/>
        <w:ind w:left="1416" w:firstLine="708"/>
        <w:jc w:val="both"/>
      </w:pPr>
      <w:r w:rsidRPr="00303BF7">
        <w:t>IČ: 70892822</w:t>
      </w:r>
    </w:p>
    <w:p w:rsidR="00480F81" w:rsidRDefault="00480F81" w:rsidP="00480F81">
      <w:pPr>
        <w:pStyle w:val="Bezmezer"/>
        <w:ind w:left="1416" w:firstLine="708"/>
        <w:jc w:val="both"/>
      </w:pPr>
    </w:p>
    <w:p w:rsidR="00480F81" w:rsidRDefault="00480F81" w:rsidP="00480F81">
      <w:pPr>
        <w:pStyle w:val="Bezmezer"/>
        <w:jc w:val="both"/>
      </w:pPr>
      <w:r>
        <w:t>Projektant:</w:t>
      </w:r>
      <w:r>
        <w:tab/>
      </w:r>
      <w:r>
        <w:tab/>
        <w:t>Realitní a stavební společnost s r.o.</w:t>
      </w:r>
    </w:p>
    <w:p w:rsidR="00480F81" w:rsidRDefault="00480F81" w:rsidP="00480F81">
      <w:pPr>
        <w:pStyle w:val="Bezmezer"/>
        <w:ind w:left="142"/>
        <w:jc w:val="both"/>
      </w:pPr>
      <w:r>
        <w:tab/>
      </w:r>
      <w:r>
        <w:tab/>
      </w:r>
      <w:r>
        <w:tab/>
        <w:t xml:space="preserve">Konviktská </w:t>
      </w:r>
      <w:proofErr w:type="gramStart"/>
      <w:r>
        <w:t>24,  110 00</w:t>
      </w:r>
      <w:proofErr w:type="gramEnd"/>
      <w:r>
        <w:t xml:space="preserve">  Praha 1</w:t>
      </w:r>
    </w:p>
    <w:p w:rsidR="00480F81" w:rsidRDefault="00480F81" w:rsidP="00480F81">
      <w:pPr>
        <w:pStyle w:val="Bezmezer"/>
        <w:ind w:left="142"/>
        <w:jc w:val="both"/>
      </w:pPr>
      <w:r>
        <w:tab/>
      </w:r>
      <w:r>
        <w:tab/>
      </w:r>
      <w:r>
        <w:tab/>
        <w:t xml:space="preserve">Doručovací adresa:  </w:t>
      </w:r>
      <w:proofErr w:type="spellStart"/>
      <w:r>
        <w:t>Žitenická</w:t>
      </w:r>
      <w:proofErr w:type="spellEnd"/>
      <w:r>
        <w:t xml:space="preserve"> </w:t>
      </w:r>
      <w:proofErr w:type="gramStart"/>
      <w:r>
        <w:t>10,  286 01</w:t>
      </w:r>
      <w:proofErr w:type="gramEnd"/>
      <w:r>
        <w:t xml:space="preserve">  Čáslav</w:t>
      </w:r>
    </w:p>
    <w:p w:rsidR="00480F81" w:rsidRDefault="00480F81" w:rsidP="00480F81">
      <w:pPr>
        <w:pStyle w:val="Bezmezer"/>
        <w:ind w:left="142"/>
        <w:jc w:val="both"/>
      </w:pPr>
      <w:r>
        <w:tab/>
      </w:r>
      <w:r>
        <w:tab/>
      </w:r>
      <w:r>
        <w:tab/>
      </w:r>
      <w:proofErr w:type="gramStart"/>
      <w:r>
        <w:t>Tel.:  327 316 331</w:t>
      </w:r>
      <w:proofErr w:type="gramEnd"/>
    </w:p>
    <w:p w:rsidR="00480F81" w:rsidRDefault="00480F81" w:rsidP="00480F81">
      <w:pPr>
        <w:pStyle w:val="Bezmezer"/>
        <w:ind w:left="142"/>
        <w:jc w:val="both"/>
      </w:pPr>
      <w:r>
        <w:tab/>
      </w:r>
      <w:r>
        <w:tab/>
      </w:r>
      <w:r>
        <w:tab/>
        <w:t xml:space="preserve">e-mail:  </w:t>
      </w:r>
      <w:hyperlink r:id="rId8" w:history="1">
        <w:r w:rsidRPr="00097FD9">
          <w:rPr>
            <w:rStyle w:val="Hypertextovodkaz"/>
          </w:rPr>
          <w:t>info@realitnicaslav.cz</w:t>
        </w:r>
      </w:hyperlink>
    </w:p>
    <w:p w:rsidR="00480F81" w:rsidRDefault="00480F81" w:rsidP="00480F81">
      <w:pPr>
        <w:pStyle w:val="Bezmezer"/>
        <w:ind w:left="142"/>
        <w:jc w:val="both"/>
      </w:pPr>
    </w:p>
    <w:p w:rsidR="00480F81" w:rsidRDefault="00480F81" w:rsidP="00480F81">
      <w:pPr>
        <w:pStyle w:val="Bezmezer"/>
        <w:jc w:val="both"/>
      </w:pPr>
      <w:r>
        <w:t>Osvědčení o autorizaci:</w:t>
      </w:r>
      <w:r>
        <w:tab/>
        <w:t xml:space="preserve">Ing. Jakub </w:t>
      </w:r>
      <w:proofErr w:type="spellStart"/>
      <w:r>
        <w:t>Vavřička</w:t>
      </w:r>
      <w:proofErr w:type="spellEnd"/>
    </w:p>
    <w:p w:rsidR="00480F81" w:rsidRDefault="00480F81" w:rsidP="00480F81">
      <w:pPr>
        <w:pStyle w:val="Bezmezer"/>
        <w:ind w:left="1416" w:firstLine="708"/>
        <w:jc w:val="both"/>
      </w:pPr>
      <w:r>
        <w:t>Autorizovaný inženýr v oboru pozemní stavby</w:t>
      </w:r>
    </w:p>
    <w:p w:rsidR="00480F81" w:rsidRDefault="00480F81" w:rsidP="00480F81">
      <w:pPr>
        <w:pStyle w:val="Bezmezer"/>
        <w:ind w:left="142"/>
        <w:jc w:val="both"/>
      </w:pPr>
      <w:r>
        <w:tab/>
      </w:r>
      <w:r>
        <w:tab/>
      </w:r>
      <w:r>
        <w:tab/>
        <w:t>Vedený pod číslem 0011922</w:t>
      </w:r>
    </w:p>
    <w:p w:rsidR="00866AEA" w:rsidRDefault="00866AEA" w:rsidP="00480F81">
      <w:pPr>
        <w:pStyle w:val="Bezmezer"/>
        <w:jc w:val="both"/>
      </w:pPr>
    </w:p>
    <w:p w:rsidR="009E2A26" w:rsidRPr="009E2A26" w:rsidRDefault="009E2A26" w:rsidP="009E2A26">
      <w:pPr>
        <w:pStyle w:val="Odstavecseseznamem"/>
        <w:numPr>
          <w:ilvl w:val="0"/>
          <w:numId w:val="1"/>
        </w:numPr>
        <w:rPr>
          <w:b/>
          <w:u w:val="single"/>
        </w:rPr>
      </w:pPr>
      <w:bookmarkStart w:id="0" w:name="_Toc244061242"/>
      <w:bookmarkStart w:id="1" w:name="_Toc244582917"/>
      <w:r w:rsidRPr="009E2A26">
        <w:rPr>
          <w:b/>
          <w:u w:val="single"/>
        </w:rPr>
        <w:t>Zdůvodnění a charakter stavby</w:t>
      </w:r>
      <w:bookmarkEnd w:id="0"/>
      <w:bookmarkEnd w:id="1"/>
    </w:p>
    <w:p w:rsidR="00112592" w:rsidRDefault="00112592" w:rsidP="00112592">
      <w:pPr>
        <w:pStyle w:val="Bezmezer"/>
        <w:ind w:firstLine="426"/>
        <w:jc w:val="both"/>
      </w:pPr>
      <w:r>
        <w:t>Jedná o objekty v areálu LDN v </w:t>
      </w:r>
      <w:proofErr w:type="gramStart"/>
      <w:r>
        <w:t>k.</w:t>
      </w:r>
      <w:proofErr w:type="spellStart"/>
      <w:r>
        <w:t>ú</w:t>
      </w:r>
      <w:proofErr w:type="spellEnd"/>
      <w:r>
        <w:t>.</w:t>
      </w:r>
      <w:proofErr w:type="gramEnd"/>
      <w:r>
        <w:t xml:space="preserve"> Rybitví na </w:t>
      </w:r>
      <w:proofErr w:type="gramStart"/>
      <w:r>
        <w:t>par.č.</w:t>
      </w:r>
      <w:proofErr w:type="gramEnd"/>
      <w:r>
        <w:t xml:space="preserve"> 383/1, 383/2 a okolním pozemku par.č. 1012.</w:t>
      </w:r>
    </w:p>
    <w:p w:rsidR="00112592" w:rsidRDefault="00112592" w:rsidP="00112592">
      <w:pPr>
        <w:pStyle w:val="Bezmezer"/>
        <w:ind w:firstLine="426"/>
        <w:jc w:val="both"/>
      </w:pPr>
    </w:p>
    <w:p w:rsidR="00112592" w:rsidRDefault="00112592" w:rsidP="00112592">
      <w:pPr>
        <w:pStyle w:val="Bezmezer"/>
        <w:ind w:firstLine="426"/>
        <w:jc w:val="both"/>
      </w:pPr>
      <w:r>
        <w:t>Stavební úpravy vedoucí k energetickým úsporám budou realizovány v uzavřeném areálu LDN a z malé části na fasádě sousedící s veřejnou komunikací, která je majetkem obce Rybitví.</w:t>
      </w:r>
    </w:p>
    <w:p w:rsidR="00767AA3" w:rsidRDefault="00767AA3" w:rsidP="00112592">
      <w:pPr>
        <w:pStyle w:val="Bezmezer"/>
        <w:ind w:firstLine="426"/>
        <w:jc w:val="both"/>
      </w:pPr>
      <w:r>
        <w:t>Jedná se o udržovací práce dle §103 písm. e) stavebního zákona, jejichž provedení nebude negativně ovlivňovat zdraví osob, požární bezpečnost, stabilitu a vzhled stavby, životní prostředí a bezpečnost při užívání. Objekt není památkově chráněn.</w:t>
      </w:r>
    </w:p>
    <w:p w:rsidR="00F96A8A" w:rsidRDefault="00F96A8A" w:rsidP="00F96A8A">
      <w:pPr>
        <w:pStyle w:val="Bezmezer"/>
        <w:jc w:val="both"/>
      </w:pPr>
    </w:p>
    <w:p w:rsidR="00535F4C" w:rsidRDefault="00535F4C" w:rsidP="00535F4C">
      <w:pPr>
        <w:contextualSpacing/>
        <w:rPr>
          <w:rFonts w:eastAsia="Times New Roman"/>
        </w:rPr>
      </w:pPr>
      <w:r>
        <w:t xml:space="preserve">Druh stavby dle CPV: </w:t>
      </w:r>
      <w:r>
        <w:rPr>
          <w:rFonts w:eastAsia="Times New Roman"/>
        </w:rPr>
        <w:t>45000000-7 stavební práce</w:t>
      </w:r>
    </w:p>
    <w:p w:rsidR="00535F4C" w:rsidRDefault="00535F4C" w:rsidP="00535F4C">
      <w:pPr>
        <w:contextualSpacing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  <w:t xml:space="preserve"> SKP: F45 Stavební práce</w:t>
      </w:r>
    </w:p>
    <w:p w:rsidR="001C548D" w:rsidRDefault="001C548D" w:rsidP="001C548D">
      <w:pPr>
        <w:ind w:left="708" w:firstLine="708"/>
        <w:contextualSpacing/>
        <w:rPr>
          <w:rFonts w:eastAsia="Times New Roman"/>
        </w:rPr>
      </w:pPr>
      <w:r>
        <w:rPr>
          <w:rFonts w:eastAsia="Times New Roman"/>
        </w:rPr>
        <w:t>CZ-CC: 1264</w:t>
      </w:r>
    </w:p>
    <w:p w:rsidR="001C548D" w:rsidRDefault="001C548D" w:rsidP="001C548D">
      <w:pPr>
        <w:ind w:left="708" w:firstLine="708"/>
        <w:contextualSpacing/>
        <w:rPr>
          <w:rFonts w:eastAsia="Times New Roman"/>
        </w:rPr>
      </w:pPr>
      <w:r>
        <w:rPr>
          <w:rFonts w:eastAsia="Times New Roman"/>
        </w:rPr>
        <w:t>CZ-CPA: 41.00.40</w:t>
      </w:r>
    </w:p>
    <w:p w:rsidR="00535F4C" w:rsidRDefault="00535F4C" w:rsidP="00535F4C">
      <w:pPr>
        <w:contextualSpacing/>
      </w:pPr>
      <w:r>
        <w:rPr>
          <w:rFonts w:eastAsia="Times New Roman"/>
        </w:rPr>
        <w:tab/>
      </w:r>
      <w:r>
        <w:rPr>
          <w:rFonts w:eastAsia="Times New Roman"/>
        </w:rPr>
        <w:tab/>
        <w:t>JKSO: 801 1</w:t>
      </w:r>
      <w:r w:rsidR="00875EE4">
        <w:rPr>
          <w:rFonts w:eastAsia="Times New Roman"/>
        </w:rPr>
        <w:t>3</w:t>
      </w:r>
      <w:r>
        <w:rPr>
          <w:rFonts w:eastAsia="Times New Roman"/>
        </w:rPr>
        <w:t xml:space="preserve"> 1</w:t>
      </w:r>
    </w:p>
    <w:p w:rsidR="00112592" w:rsidRDefault="00112592" w:rsidP="00112592">
      <w:pPr>
        <w:pStyle w:val="Bezmezer"/>
        <w:ind w:firstLine="360"/>
        <w:jc w:val="both"/>
      </w:pPr>
      <w:r>
        <w:t xml:space="preserve">Jedná se o několik vzájemně propojených objektů, kde dvě hlavní budovy jsou propojeny spojovací částí a dále jsou k nim provedeny další. Objekt je založen na betonových pasech. Nosná konstrukce je postavena z plných cihel na maltu s MVC omítkami. Okna dřevěná zdvojená, dveře dřevené do ocelové zárubně, nebo již vyměněné před několika lety za plastové. Střechy jsou většinou </w:t>
      </w:r>
      <w:r>
        <w:lastRenderedPageBreak/>
        <w:t xml:space="preserve">sedlové s krytinou z profilovaných plechů nebo s taškovou krytinou. Malá část jsou jednoplášťové ploché střechy s živičnou krytinou. </w:t>
      </w:r>
    </w:p>
    <w:p w:rsidR="00112592" w:rsidRDefault="00112592" w:rsidP="00112592">
      <w:pPr>
        <w:pStyle w:val="Bezmezer"/>
        <w:ind w:firstLine="426"/>
        <w:jc w:val="both"/>
      </w:pPr>
    </w:p>
    <w:p w:rsidR="00112592" w:rsidRDefault="00112592" w:rsidP="00112592">
      <w:pPr>
        <w:pStyle w:val="Bezmezer"/>
        <w:ind w:firstLine="426"/>
        <w:jc w:val="both"/>
      </w:pPr>
      <w:r>
        <w:t>Tato PD řeší rozsáhlou výměnu původních oken a dveří, protože bylo zjištěno, že současná okna značně nevyhovují hlavně z hlediska tepelné prostupnosti, netěsnosti a v některých případech okny do budovy dokonce zatéká.</w:t>
      </w:r>
    </w:p>
    <w:p w:rsidR="00112592" w:rsidRDefault="00112592" w:rsidP="00112592">
      <w:pPr>
        <w:pStyle w:val="Bezmezer"/>
        <w:jc w:val="both"/>
      </w:pPr>
      <w:r>
        <w:t>Dále zateplení obvodového pláště minerální vatou a zateplení střešních konstrukcí vč. nové krytiny TPO folií na plochých střechách.</w:t>
      </w:r>
    </w:p>
    <w:p w:rsidR="00C54B6D" w:rsidRDefault="00C54B6D" w:rsidP="005C0FB4">
      <w:pPr>
        <w:pStyle w:val="Bezmezer"/>
        <w:ind w:firstLine="708"/>
        <w:jc w:val="both"/>
      </w:pPr>
    </w:p>
    <w:p w:rsidR="00B05D1E" w:rsidRDefault="00B05D1E" w:rsidP="005C0FB4">
      <w:pPr>
        <w:pStyle w:val="Bezmezer"/>
        <w:ind w:firstLine="708"/>
        <w:jc w:val="both"/>
      </w:pPr>
    </w:p>
    <w:p w:rsidR="009E2A26" w:rsidRPr="009E2A26" w:rsidRDefault="009E2A26" w:rsidP="009E2A26">
      <w:pPr>
        <w:pStyle w:val="Odstavecseseznamem"/>
        <w:numPr>
          <w:ilvl w:val="0"/>
          <w:numId w:val="1"/>
        </w:numPr>
        <w:rPr>
          <w:b/>
          <w:u w:val="single"/>
        </w:rPr>
      </w:pPr>
      <w:bookmarkStart w:id="2" w:name="_Toc244582918"/>
      <w:r w:rsidRPr="009E2A26">
        <w:rPr>
          <w:b/>
          <w:u w:val="single"/>
        </w:rPr>
        <w:t>Časový plán stavby</w:t>
      </w:r>
      <w:bookmarkEnd w:id="2"/>
      <w:r w:rsidR="008279E4" w:rsidRPr="009E2A26">
        <w:rPr>
          <w:b/>
          <w:u w:val="single"/>
        </w:rPr>
        <w:fldChar w:fldCharType="begin"/>
      </w:r>
      <w:r w:rsidRPr="009E2A26">
        <w:rPr>
          <w:b/>
          <w:u w:val="single"/>
        </w:rPr>
        <w:instrText>TC \l2 "„asovv pl&lt;n stavby</w:instrText>
      </w:r>
      <w:r w:rsidR="008279E4" w:rsidRPr="009E2A26">
        <w:rPr>
          <w:b/>
          <w:u w:val="single"/>
        </w:rPr>
        <w:fldChar w:fldCharType="end"/>
      </w:r>
    </w:p>
    <w:p w:rsidR="009E2A26" w:rsidRDefault="009E2A26" w:rsidP="009E2A26">
      <w:pPr>
        <w:widowControl w:val="0"/>
        <w:numPr>
          <w:ilvl w:val="0"/>
          <w:numId w:val="6"/>
        </w:numPr>
        <w:tabs>
          <w:tab w:val="left" w:pos="-1461"/>
          <w:tab w:val="left" w:pos="-741"/>
          <w:tab w:val="left" w:pos="-21"/>
          <w:tab w:val="right" w:pos="7088"/>
        </w:tabs>
        <w:spacing w:after="0" w:line="240" w:lineRule="auto"/>
        <w:ind w:left="337" w:right="-165"/>
        <w:jc w:val="both"/>
        <w:rPr>
          <w:sz w:val="24"/>
        </w:rPr>
      </w:pPr>
      <w:r>
        <w:rPr>
          <w:sz w:val="24"/>
        </w:rPr>
        <w:t>předpokládaný termín zahájení stavby:</w:t>
      </w:r>
      <w:r>
        <w:rPr>
          <w:sz w:val="24"/>
        </w:rPr>
        <w:tab/>
        <w:t>0</w:t>
      </w:r>
      <w:r w:rsidR="00D21EAB">
        <w:rPr>
          <w:sz w:val="24"/>
        </w:rPr>
        <w:t>3/2014</w:t>
      </w:r>
    </w:p>
    <w:p w:rsidR="009E2A26" w:rsidRDefault="009E2A26" w:rsidP="009E2A26">
      <w:pPr>
        <w:widowControl w:val="0"/>
        <w:numPr>
          <w:ilvl w:val="0"/>
          <w:numId w:val="7"/>
        </w:numPr>
        <w:tabs>
          <w:tab w:val="left" w:pos="-1461"/>
          <w:tab w:val="left" w:pos="-741"/>
          <w:tab w:val="left" w:pos="-21"/>
          <w:tab w:val="right" w:pos="7088"/>
        </w:tabs>
        <w:spacing w:after="0" w:line="240" w:lineRule="auto"/>
        <w:ind w:left="337" w:right="-165"/>
        <w:jc w:val="both"/>
        <w:rPr>
          <w:sz w:val="24"/>
        </w:rPr>
      </w:pPr>
      <w:r>
        <w:rPr>
          <w:sz w:val="24"/>
        </w:rPr>
        <w:t>předpok</w:t>
      </w:r>
      <w:r w:rsidR="00112592">
        <w:rPr>
          <w:sz w:val="24"/>
        </w:rPr>
        <w:t>ládaný termín ukončení stavby:</w:t>
      </w:r>
      <w:r w:rsidR="00112592">
        <w:rPr>
          <w:sz w:val="24"/>
        </w:rPr>
        <w:tab/>
        <w:t>06</w:t>
      </w:r>
      <w:r>
        <w:rPr>
          <w:sz w:val="24"/>
        </w:rPr>
        <w:t>/201</w:t>
      </w:r>
      <w:r w:rsidR="00F96A8A">
        <w:rPr>
          <w:sz w:val="24"/>
        </w:rPr>
        <w:t>5</w:t>
      </w:r>
    </w:p>
    <w:p w:rsidR="00F96A8A" w:rsidRDefault="00F96A8A" w:rsidP="00F96A8A">
      <w:pPr>
        <w:widowControl w:val="0"/>
        <w:tabs>
          <w:tab w:val="left" w:pos="-1461"/>
          <w:tab w:val="left" w:pos="-741"/>
          <w:tab w:val="left" w:pos="-21"/>
          <w:tab w:val="right" w:pos="7088"/>
        </w:tabs>
        <w:spacing w:after="0" w:line="240" w:lineRule="auto"/>
        <w:ind w:left="337" w:right="-165"/>
        <w:jc w:val="both"/>
        <w:rPr>
          <w:sz w:val="24"/>
        </w:rPr>
      </w:pPr>
    </w:p>
    <w:p w:rsidR="00B05D1E" w:rsidRDefault="00B05D1E" w:rsidP="00F96A8A">
      <w:pPr>
        <w:widowControl w:val="0"/>
        <w:tabs>
          <w:tab w:val="left" w:pos="-1461"/>
          <w:tab w:val="left" w:pos="-741"/>
          <w:tab w:val="left" w:pos="-21"/>
          <w:tab w:val="right" w:pos="7088"/>
        </w:tabs>
        <w:spacing w:after="0" w:line="240" w:lineRule="auto"/>
        <w:ind w:left="337" w:right="-165"/>
        <w:jc w:val="both"/>
        <w:rPr>
          <w:sz w:val="24"/>
        </w:rPr>
      </w:pPr>
    </w:p>
    <w:p w:rsidR="009E2A26" w:rsidRPr="009E2A26" w:rsidRDefault="009E2A26" w:rsidP="009E2A26">
      <w:pPr>
        <w:pStyle w:val="Odstavecseseznamem"/>
        <w:numPr>
          <w:ilvl w:val="0"/>
          <w:numId w:val="1"/>
        </w:numPr>
        <w:rPr>
          <w:b/>
          <w:u w:val="single"/>
        </w:rPr>
      </w:pPr>
      <w:bookmarkStart w:id="3" w:name="_Toc462480631"/>
      <w:bookmarkStart w:id="4" w:name="_Toc244582919"/>
      <w:r w:rsidRPr="009E2A26">
        <w:rPr>
          <w:b/>
          <w:u w:val="single"/>
        </w:rPr>
        <w:t>Věcné a časové vazby na okolní výstavbu a související investice</w:t>
      </w:r>
      <w:bookmarkEnd w:id="3"/>
      <w:bookmarkEnd w:id="4"/>
    </w:p>
    <w:p w:rsidR="009E2A26" w:rsidRDefault="009E2A26" w:rsidP="00C54B6D">
      <w:pPr>
        <w:pStyle w:val="Bezmezer"/>
        <w:ind w:firstLine="360"/>
        <w:jc w:val="both"/>
      </w:pPr>
      <w:r>
        <w:t>Stavební úpravy vyvolají po dobu stavby určité provozní omezení v okolí stavby a také související investice</w:t>
      </w:r>
      <w:r w:rsidR="005669A8">
        <w:t>, které bere investor na vědomí.</w:t>
      </w:r>
    </w:p>
    <w:p w:rsidR="009E2A26" w:rsidRDefault="009E2A26" w:rsidP="00C54B6D">
      <w:pPr>
        <w:pStyle w:val="Bezmezer"/>
        <w:ind w:firstLine="360"/>
        <w:jc w:val="both"/>
      </w:pPr>
    </w:p>
    <w:p w:rsidR="005669A8" w:rsidRDefault="005669A8" w:rsidP="005669A8">
      <w:pPr>
        <w:pStyle w:val="Bezmezer"/>
        <w:ind w:firstLine="360"/>
        <w:jc w:val="both"/>
      </w:pPr>
      <w:r>
        <w:t xml:space="preserve">Po dobu stavby bude hlavní dodavatel připojen přes podružná měření na energie stavby a o odběru bude vedena řádná evidence, po dokončení stavby </w:t>
      </w:r>
      <w:r w:rsidR="00112592">
        <w:t>LDN</w:t>
      </w:r>
      <w:r>
        <w:t xml:space="preserve"> vyúčtuje odebranou energii dodavateli stavby. Stavba bude mít vlastní sanitární zařízení i vlastní stravování. Při provádění je třeba ochránit stromy na pozemku investora a zároveň zabránit znečištění stávajících komunikací a komunikace průběžně čistit.</w:t>
      </w:r>
    </w:p>
    <w:p w:rsidR="009E2A26" w:rsidRDefault="009E2A26" w:rsidP="00C54B6D">
      <w:pPr>
        <w:pStyle w:val="Bezmezer"/>
        <w:ind w:firstLine="360"/>
        <w:jc w:val="both"/>
      </w:pPr>
    </w:p>
    <w:p w:rsidR="00B05D1E" w:rsidRDefault="00B05D1E" w:rsidP="00C54B6D">
      <w:pPr>
        <w:pStyle w:val="Bezmezer"/>
        <w:ind w:firstLine="360"/>
        <w:jc w:val="both"/>
      </w:pPr>
    </w:p>
    <w:p w:rsidR="003D16FB" w:rsidRPr="007D13D1" w:rsidRDefault="007D13D1" w:rsidP="00C54B6D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7D13D1">
        <w:rPr>
          <w:b/>
          <w:u w:val="single"/>
        </w:rPr>
        <w:t>Vliv stavby na životní prostředí, likvidace odpadů</w:t>
      </w:r>
    </w:p>
    <w:p w:rsidR="007D13D1" w:rsidRDefault="007D13D1" w:rsidP="007D13D1">
      <w:pPr>
        <w:pStyle w:val="Bezmezer"/>
        <w:ind w:firstLine="360"/>
        <w:jc w:val="both"/>
      </w:pPr>
      <w:r>
        <w:t xml:space="preserve">PD splňuje podmínky na ochranu životního prostředí. V objektu ani mimo něj nebude instalováno žádné hlučné zařízení. </w:t>
      </w:r>
      <w:r w:rsidR="00303BF7">
        <w:t>Odvoz komunálního odpadu bude smluvně zajištěn se Službami města.</w:t>
      </w:r>
      <w:r>
        <w:t xml:space="preserve"> Bude dodržen Zákon č. 185/2001 Sb.</w:t>
      </w:r>
    </w:p>
    <w:p w:rsidR="007D13D1" w:rsidRDefault="007D13D1" w:rsidP="007D13D1">
      <w:pPr>
        <w:pStyle w:val="Bezmezer"/>
        <w:ind w:firstLine="360"/>
        <w:jc w:val="both"/>
      </w:pPr>
    </w:p>
    <w:p w:rsidR="007D13D1" w:rsidRPr="007D13D1" w:rsidRDefault="007D13D1" w:rsidP="007D13D1">
      <w:pPr>
        <w:pStyle w:val="Bezmezer"/>
        <w:ind w:firstLine="360"/>
        <w:jc w:val="both"/>
        <w:rPr>
          <w:b/>
        </w:rPr>
      </w:pPr>
      <w:r w:rsidRPr="007D13D1">
        <w:rPr>
          <w:b/>
        </w:rPr>
        <w:t>Odpad z provozu objektu</w:t>
      </w:r>
    </w:p>
    <w:p w:rsidR="007D13D1" w:rsidRDefault="007D13D1" w:rsidP="007D13D1">
      <w:pPr>
        <w:pStyle w:val="Bezmezer"/>
        <w:ind w:firstLine="360"/>
        <w:jc w:val="both"/>
      </w:pPr>
    </w:p>
    <w:p w:rsidR="007D13D1" w:rsidRDefault="007D13D1" w:rsidP="007D13D1">
      <w:pPr>
        <w:pStyle w:val="Bezmezer"/>
        <w:ind w:firstLine="360"/>
        <w:jc w:val="both"/>
      </w:pPr>
      <w:r>
        <w:t>Předpokládá se likvidace běžného komunálního domovního odpadu, jeho odvoz bude smluvně zajištěn</w:t>
      </w:r>
      <w:r w:rsidR="00303BF7">
        <w:t xml:space="preserve"> se Službami města</w:t>
      </w:r>
      <w:r>
        <w:t>.</w:t>
      </w:r>
    </w:p>
    <w:p w:rsidR="007D13D1" w:rsidRDefault="007D13D1" w:rsidP="007D13D1">
      <w:pPr>
        <w:pStyle w:val="Bezmezer"/>
        <w:ind w:firstLine="360"/>
        <w:jc w:val="both"/>
      </w:pPr>
    </w:p>
    <w:p w:rsidR="007D13D1" w:rsidRPr="007D13D1" w:rsidRDefault="007D13D1" w:rsidP="007D13D1">
      <w:pPr>
        <w:pStyle w:val="Bezmezer"/>
        <w:ind w:firstLine="360"/>
        <w:jc w:val="both"/>
        <w:rPr>
          <w:b/>
        </w:rPr>
      </w:pPr>
      <w:r w:rsidRPr="007D13D1">
        <w:rPr>
          <w:b/>
        </w:rPr>
        <w:t>Odpad vznikající během stavby</w:t>
      </w:r>
    </w:p>
    <w:p w:rsidR="007D13D1" w:rsidRDefault="007D13D1" w:rsidP="007D13D1">
      <w:pPr>
        <w:pStyle w:val="Bezmezer"/>
        <w:ind w:firstLine="360"/>
        <w:jc w:val="both"/>
      </w:pPr>
    </w:p>
    <w:p w:rsidR="007D13D1" w:rsidRDefault="007D13D1" w:rsidP="007D13D1">
      <w:pPr>
        <w:pStyle w:val="Bezmezer"/>
        <w:ind w:firstLine="360"/>
        <w:jc w:val="both"/>
      </w:pPr>
      <w:r>
        <w:t>Veškerý stavební odpad bude v průběhu výstavby tříděn. Při provádění vlastních stavebních prací bude dodrženo následující:</w:t>
      </w:r>
    </w:p>
    <w:p w:rsidR="007D13D1" w:rsidRDefault="007D13D1" w:rsidP="007D13D1">
      <w:pPr>
        <w:pStyle w:val="Bezmezer"/>
        <w:numPr>
          <w:ilvl w:val="0"/>
          <w:numId w:val="3"/>
        </w:numPr>
        <w:jc w:val="both"/>
      </w:pPr>
      <w:r>
        <w:t xml:space="preserve">Původce odpadů (dodavatelé stavby, propř. </w:t>
      </w:r>
      <w:r w:rsidR="00B05D1E">
        <w:t>s</w:t>
      </w:r>
      <w:r>
        <w:t>tavebníci) bude dodržovat všechny platné zákony a předpisy z oblasti odpadového hospodářství, zejména § 16 zákona o odpadech.</w:t>
      </w:r>
    </w:p>
    <w:p w:rsidR="007D13D1" w:rsidRDefault="007D13D1" w:rsidP="007D13D1">
      <w:pPr>
        <w:pStyle w:val="Bezmezer"/>
        <w:numPr>
          <w:ilvl w:val="0"/>
          <w:numId w:val="3"/>
        </w:numPr>
        <w:jc w:val="both"/>
      </w:pPr>
      <w:r>
        <w:t>Nelze-li vyprodukovaný odpad využít (§ 16 odst. 1 písm. b) zákona o odpadech), budou tyto odstraněny jen v prostorech, objektech a zařízeních výhradně k tomuto účelu určených nebo převedeny do vlastnictví osobě oprávněné k jejich převzetí.</w:t>
      </w:r>
    </w:p>
    <w:p w:rsidR="007D13D1" w:rsidRDefault="007D13D1" w:rsidP="007D13D1">
      <w:pPr>
        <w:pStyle w:val="Bezmezer"/>
        <w:numPr>
          <w:ilvl w:val="0"/>
          <w:numId w:val="3"/>
        </w:numPr>
        <w:jc w:val="both"/>
      </w:pPr>
      <w:r>
        <w:t>O vyprodukovaných odpadech bude vedena evidence v souladu s § 21 vyhlášky MŽP čís. 383/2011 Sb., o podrobnostech nakládání s odpady a vyhl. č. 353/2055 Sb.</w:t>
      </w:r>
    </w:p>
    <w:p w:rsidR="007D13D1" w:rsidRDefault="007D13D1" w:rsidP="007D13D1">
      <w:pPr>
        <w:pStyle w:val="Bezmezer"/>
        <w:ind w:left="360"/>
        <w:jc w:val="both"/>
      </w:pPr>
    </w:p>
    <w:p w:rsidR="00B05D1E" w:rsidRDefault="00B05D1E" w:rsidP="007D13D1">
      <w:pPr>
        <w:pStyle w:val="Bezmezer"/>
        <w:ind w:left="360"/>
        <w:jc w:val="both"/>
      </w:pPr>
    </w:p>
    <w:p w:rsidR="007D13D1" w:rsidRPr="00C479B7" w:rsidRDefault="007D13D1" w:rsidP="00C54B6D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C479B7">
        <w:rPr>
          <w:b/>
          <w:u w:val="single"/>
        </w:rPr>
        <w:lastRenderedPageBreak/>
        <w:t>Uspořádání staveniště a bezpečnostní opatření</w:t>
      </w:r>
    </w:p>
    <w:p w:rsidR="007D13D1" w:rsidRDefault="007D13D1" w:rsidP="007D13D1">
      <w:pPr>
        <w:pStyle w:val="Bezmezer"/>
        <w:ind w:firstLine="360"/>
        <w:jc w:val="both"/>
      </w:pPr>
      <w:r>
        <w:t xml:space="preserve">Staveniště bude na pozemcích investora. Pozemky jsou oploceny a vjezdovou bránu lze zamykat. </w:t>
      </w:r>
      <w:r w:rsidR="00C479B7">
        <w:t>Při provádění je třeba ochránit stromy na pozemku investora a zároveň zabránit znečištění stávajících komunikací a komunikace průběžně čistit.</w:t>
      </w:r>
    </w:p>
    <w:p w:rsidR="00D21EAB" w:rsidRDefault="00B05D1E" w:rsidP="007D13D1">
      <w:pPr>
        <w:pStyle w:val="Bezmezer"/>
        <w:ind w:firstLine="360"/>
        <w:jc w:val="both"/>
      </w:pPr>
      <w:r>
        <w:t>Zařízení staveniště bude umístěno na parkovací ploše před garážemi</w:t>
      </w:r>
      <w:r w:rsidRPr="00ED65C6">
        <w:t xml:space="preserve"> (viz situace). </w:t>
      </w:r>
      <w:r w:rsidR="00D21EAB">
        <w:t>Tato plocha bude zakryta na náklady dodavatele stavby panely po dobu stavby. Po dokončení stavebních prací budou tyto panely odstraněny a plocha uvedena do původního stavu.</w:t>
      </w:r>
    </w:p>
    <w:p w:rsidR="005669A8" w:rsidRDefault="005669A8" w:rsidP="007D13D1">
      <w:pPr>
        <w:pStyle w:val="Bezmezer"/>
        <w:ind w:firstLine="360"/>
        <w:jc w:val="both"/>
      </w:pPr>
    </w:p>
    <w:p w:rsidR="007D13D1" w:rsidRDefault="005669A8" w:rsidP="00F96A8A">
      <w:pPr>
        <w:pStyle w:val="Bezmezer"/>
        <w:ind w:firstLine="360"/>
        <w:jc w:val="both"/>
      </w:pPr>
      <w:r>
        <w:t>Stavba bude prováděna většinou na prostranstvích, kde je zvýšený pohyb osob. Z tohoto důvodu je nutné řešit, kromě bezpečnosti pracujících, bezpečnost chodců a pohybujících se osob.  Jedná se zejména o řádné značení nebezpečného prostoru v okolí lešení, používání pevných zábran výkopů a pracovních ploch a dod</w:t>
      </w:r>
      <w:r w:rsidR="00F96A8A">
        <w:t>ržování technologických postupů.</w:t>
      </w:r>
    </w:p>
    <w:sectPr w:rsidR="007D13D1" w:rsidSect="00FA32B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ECB" w:rsidRDefault="009E7ECB" w:rsidP="00C479B7">
      <w:pPr>
        <w:spacing w:after="0" w:line="240" w:lineRule="auto"/>
      </w:pPr>
      <w:r>
        <w:separator/>
      </w:r>
    </w:p>
  </w:endnote>
  <w:endnote w:type="continuationSeparator" w:id="0">
    <w:p w:rsidR="009E7ECB" w:rsidRDefault="009E7ECB" w:rsidP="00C47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319438"/>
      <w:docPartObj>
        <w:docPartGallery w:val="Page Numbers (Bottom of Page)"/>
        <w:docPartUnique/>
      </w:docPartObj>
    </w:sdtPr>
    <w:sdtContent>
      <w:p w:rsidR="00D05E6B" w:rsidRDefault="008279E4">
        <w:pPr>
          <w:pStyle w:val="Zpat"/>
          <w:jc w:val="right"/>
        </w:pPr>
        <w:fldSimple w:instr=" PAGE   \* MERGEFORMAT ">
          <w:r w:rsidR="00B05D1E">
            <w:rPr>
              <w:noProof/>
            </w:rPr>
            <w:t>4</w:t>
          </w:r>
        </w:fldSimple>
      </w:p>
    </w:sdtContent>
  </w:sdt>
  <w:p w:rsidR="00D05E6B" w:rsidRDefault="00D05E6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ECB" w:rsidRDefault="009E7ECB" w:rsidP="00C479B7">
      <w:pPr>
        <w:spacing w:after="0" w:line="240" w:lineRule="auto"/>
      </w:pPr>
      <w:r>
        <w:separator/>
      </w:r>
    </w:p>
  </w:footnote>
  <w:footnote w:type="continuationSeparator" w:id="0">
    <w:p w:rsidR="009E7ECB" w:rsidRDefault="009E7ECB" w:rsidP="00C479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AAA2AAA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2A0F389E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11240A1"/>
    <w:multiLevelType w:val="singleLevel"/>
    <w:tmpl w:val="C4A0BD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AE803CE"/>
    <w:multiLevelType w:val="hybridMultilevel"/>
    <w:tmpl w:val="14CAF428"/>
    <w:lvl w:ilvl="0" w:tplc="9350D67C">
      <w:start w:val="5"/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413B2965"/>
    <w:multiLevelType w:val="hybridMultilevel"/>
    <w:tmpl w:val="AF7EFB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0C14B4"/>
    <w:multiLevelType w:val="hybridMultilevel"/>
    <w:tmpl w:val="872AC0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8340AE"/>
    <w:multiLevelType w:val="hybridMultilevel"/>
    <w:tmpl w:val="CFD23D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AE1F4E"/>
    <w:multiLevelType w:val="singleLevel"/>
    <w:tmpl w:val="C4A0BD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0FB4"/>
    <w:rsid w:val="000142F6"/>
    <w:rsid w:val="00017B3A"/>
    <w:rsid w:val="00042689"/>
    <w:rsid w:val="00082640"/>
    <w:rsid w:val="00112592"/>
    <w:rsid w:val="00137A6D"/>
    <w:rsid w:val="001B0578"/>
    <w:rsid w:val="001C548D"/>
    <w:rsid w:val="002532E1"/>
    <w:rsid w:val="00256F96"/>
    <w:rsid w:val="002962CF"/>
    <w:rsid w:val="002A4FAD"/>
    <w:rsid w:val="002D7F2E"/>
    <w:rsid w:val="002F7B9E"/>
    <w:rsid w:val="00303BF7"/>
    <w:rsid w:val="003148D6"/>
    <w:rsid w:val="0036033D"/>
    <w:rsid w:val="0036593A"/>
    <w:rsid w:val="003C72CD"/>
    <w:rsid w:val="003D16FB"/>
    <w:rsid w:val="00466B69"/>
    <w:rsid w:val="00480F81"/>
    <w:rsid w:val="00535F4C"/>
    <w:rsid w:val="00565A53"/>
    <w:rsid w:val="005669A8"/>
    <w:rsid w:val="005762A8"/>
    <w:rsid w:val="005A2C41"/>
    <w:rsid w:val="005C0FB4"/>
    <w:rsid w:val="006C096D"/>
    <w:rsid w:val="006D783A"/>
    <w:rsid w:val="006E22C8"/>
    <w:rsid w:val="006E2E86"/>
    <w:rsid w:val="00736BC4"/>
    <w:rsid w:val="00767AA3"/>
    <w:rsid w:val="007C1C03"/>
    <w:rsid w:val="007C310A"/>
    <w:rsid w:val="007D13D1"/>
    <w:rsid w:val="007E5CA9"/>
    <w:rsid w:val="008279E4"/>
    <w:rsid w:val="00866AEA"/>
    <w:rsid w:val="00875EE4"/>
    <w:rsid w:val="00967441"/>
    <w:rsid w:val="009A42DB"/>
    <w:rsid w:val="009E2A26"/>
    <w:rsid w:val="009E7ECB"/>
    <w:rsid w:val="00A21397"/>
    <w:rsid w:val="00A31481"/>
    <w:rsid w:val="00A66DCB"/>
    <w:rsid w:val="00B02E1B"/>
    <w:rsid w:val="00B05D1E"/>
    <w:rsid w:val="00B2574B"/>
    <w:rsid w:val="00B802ED"/>
    <w:rsid w:val="00B95C7B"/>
    <w:rsid w:val="00C2020F"/>
    <w:rsid w:val="00C479B7"/>
    <w:rsid w:val="00C54B6D"/>
    <w:rsid w:val="00CC491F"/>
    <w:rsid w:val="00D05E6B"/>
    <w:rsid w:val="00D21EAB"/>
    <w:rsid w:val="00D942F7"/>
    <w:rsid w:val="00D9522B"/>
    <w:rsid w:val="00DD0AEA"/>
    <w:rsid w:val="00E11700"/>
    <w:rsid w:val="00E20D99"/>
    <w:rsid w:val="00E351AF"/>
    <w:rsid w:val="00EB30DD"/>
    <w:rsid w:val="00F00202"/>
    <w:rsid w:val="00F2349E"/>
    <w:rsid w:val="00F86A7B"/>
    <w:rsid w:val="00F96A8A"/>
    <w:rsid w:val="00FA32B1"/>
    <w:rsid w:val="00FB3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32B1"/>
  </w:style>
  <w:style w:type="paragraph" w:styleId="Nadpis1">
    <w:name w:val="heading 1"/>
    <w:basedOn w:val="Normln"/>
    <w:next w:val="Normln"/>
    <w:link w:val="Nadpis1Char"/>
    <w:qFormat/>
    <w:rsid w:val="009E2A26"/>
    <w:pPr>
      <w:keepNext/>
      <w:numPr>
        <w:numId w:val="4"/>
      </w:num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smallCaps/>
      <w:color w:val="000000"/>
      <w:kern w:val="28"/>
      <w:sz w:val="36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9E2A26"/>
    <w:pPr>
      <w:keepNext/>
      <w:numPr>
        <w:ilvl w:val="1"/>
        <w:numId w:val="4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i/>
      <w:color w:val="000000"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9E2A26"/>
    <w:pPr>
      <w:keepNext/>
      <w:numPr>
        <w:ilvl w:val="2"/>
        <w:numId w:val="4"/>
      </w:numPr>
      <w:spacing w:before="240" w:after="60" w:line="240" w:lineRule="auto"/>
      <w:outlineLvl w:val="2"/>
    </w:pPr>
    <w:rPr>
      <w:rFonts w:ascii="Arial" w:eastAsia="Times New Roman" w:hAnsi="Arial" w:cs="Times New Roman"/>
      <w:color w:val="000000"/>
      <w:sz w:val="24"/>
      <w:szCs w:val="20"/>
      <w:u w:val="single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9E2A26"/>
    <w:pPr>
      <w:keepNext/>
      <w:numPr>
        <w:ilvl w:val="3"/>
        <w:numId w:val="4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color w:val="000000"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9E2A26"/>
    <w:pPr>
      <w:numPr>
        <w:ilvl w:val="4"/>
        <w:numId w:val="4"/>
      </w:numPr>
      <w:spacing w:before="240" w:after="60" w:line="240" w:lineRule="auto"/>
      <w:outlineLvl w:val="4"/>
    </w:pPr>
    <w:rPr>
      <w:rFonts w:ascii="Arial" w:eastAsia="Times New Roman" w:hAnsi="Arial" w:cs="Times New Roman"/>
      <w:color w:val="000000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9E2A26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color w:val="000000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9E2A26"/>
    <w:pPr>
      <w:numPr>
        <w:ilvl w:val="6"/>
        <w:numId w:val="4"/>
      </w:numPr>
      <w:spacing w:before="240" w:after="60" w:line="240" w:lineRule="auto"/>
      <w:outlineLvl w:val="6"/>
    </w:pPr>
    <w:rPr>
      <w:rFonts w:ascii="Arial" w:eastAsia="Times New Roman" w:hAnsi="Arial" w:cs="Times New Roman"/>
      <w:color w:val="000000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9E2A26"/>
    <w:pPr>
      <w:numPr>
        <w:ilvl w:val="7"/>
        <w:numId w:val="4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color w:val="000000"/>
      <w:sz w:val="24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9E2A26"/>
    <w:pPr>
      <w:numPr>
        <w:ilvl w:val="8"/>
        <w:numId w:val="4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color w:val="000000"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C0FB4"/>
    <w:pPr>
      <w:ind w:left="720"/>
      <w:contextualSpacing/>
    </w:pPr>
  </w:style>
  <w:style w:type="paragraph" w:styleId="Bezmezer">
    <w:name w:val="No Spacing"/>
    <w:uiPriority w:val="1"/>
    <w:qFormat/>
    <w:rsid w:val="005C0FB4"/>
    <w:pPr>
      <w:spacing w:after="0" w:line="240" w:lineRule="auto"/>
    </w:pPr>
  </w:style>
  <w:style w:type="paragraph" w:styleId="Zhlav">
    <w:name w:val="header"/>
    <w:basedOn w:val="Normln"/>
    <w:link w:val="ZhlavChar"/>
    <w:semiHidden/>
    <w:unhideWhenUsed/>
    <w:rsid w:val="00C47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479B7"/>
  </w:style>
  <w:style w:type="paragraph" w:styleId="Zpat">
    <w:name w:val="footer"/>
    <w:basedOn w:val="Normln"/>
    <w:link w:val="ZpatChar"/>
    <w:unhideWhenUsed/>
    <w:rsid w:val="00C47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79B7"/>
  </w:style>
  <w:style w:type="character" w:styleId="slostrnky">
    <w:name w:val="page number"/>
    <w:basedOn w:val="Standardnpsmoodstavce"/>
    <w:semiHidden/>
    <w:rsid w:val="00A21397"/>
  </w:style>
  <w:style w:type="paragraph" w:styleId="Zkladntext2">
    <w:name w:val="Body Text 2"/>
    <w:basedOn w:val="Normln"/>
    <w:link w:val="Zkladntext2Char"/>
    <w:semiHidden/>
    <w:rsid w:val="00A21397"/>
    <w:pPr>
      <w:widowControl w:val="0"/>
      <w:tabs>
        <w:tab w:val="left" w:pos="-1438"/>
        <w:tab w:val="left" w:pos="-718"/>
        <w:tab w:val="left" w:pos="2"/>
        <w:tab w:val="left" w:pos="722"/>
        <w:tab w:val="left" w:pos="1442"/>
        <w:tab w:val="left" w:pos="2162"/>
        <w:tab w:val="left" w:pos="2882"/>
        <w:tab w:val="left" w:pos="3602"/>
        <w:tab w:val="left" w:pos="4322"/>
        <w:tab w:val="left" w:pos="5042"/>
        <w:tab w:val="left" w:pos="5762"/>
        <w:tab w:val="left" w:pos="6482"/>
        <w:tab w:val="left" w:pos="7202"/>
        <w:tab w:val="left" w:pos="7922"/>
        <w:tab w:val="left" w:pos="8642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52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A21397"/>
    <w:rPr>
      <w:rFonts w:ascii="Times New Roman" w:eastAsia="Times New Roman" w:hAnsi="Times New Roman" w:cs="Times New Roman"/>
      <w:b/>
      <w:sz w:val="52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9E2A26"/>
    <w:rPr>
      <w:rFonts w:ascii="Arial" w:eastAsia="Times New Roman" w:hAnsi="Arial" w:cs="Times New Roman"/>
      <w:b/>
      <w:smallCaps/>
      <w:color w:val="000000"/>
      <w:kern w:val="28"/>
      <w:sz w:val="3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9E2A26"/>
    <w:rPr>
      <w:rFonts w:ascii="Arial" w:eastAsia="Times New Roman" w:hAnsi="Arial" w:cs="Times New Roman"/>
      <w:b/>
      <w:i/>
      <w:color w:val="000000"/>
      <w:sz w:val="24"/>
      <w:szCs w:val="20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9E2A26"/>
    <w:rPr>
      <w:rFonts w:ascii="Arial" w:eastAsia="Times New Roman" w:hAnsi="Arial" w:cs="Times New Roman"/>
      <w:color w:val="000000"/>
      <w:sz w:val="24"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9E2A26"/>
    <w:rPr>
      <w:rFonts w:ascii="Arial" w:eastAsia="Times New Roman" w:hAnsi="Arial" w:cs="Times New Roman"/>
      <w:b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9E2A26"/>
    <w:rPr>
      <w:rFonts w:ascii="Arial" w:eastAsia="Times New Roman" w:hAnsi="Arial" w:cs="Times New Roman"/>
      <w:color w:val="00000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9E2A26"/>
    <w:rPr>
      <w:rFonts w:ascii="Times New Roman" w:eastAsia="Times New Roman" w:hAnsi="Times New Roman" w:cs="Times New Roman"/>
      <w:i/>
      <w:color w:val="00000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9E2A26"/>
    <w:rPr>
      <w:rFonts w:ascii="Arial" w:eastAsia="Times New Roman" w:hAnsi="Arial" w:cs="Times New Roman"/>
      <w:color w:val="000000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9E2A26"/>
    <w:rPr>
      <w:rFonts w:ascii="Arial" w:eastAsia="Times New Roman" w:hAnsi="Arial" w:cs="Times New Roman"/>
      <w:i/>
      <w:color w:val="000000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9E2A26"/>
    <w:rPr>
      <w:rFonts w:ascii="Arial" w:eastAsia="Times New Roman" w:hAnsi="Arial" w:cs="Times New Roman"/>
      <w:b/>
      <w:i/>
      <w:color w:val="000000"/>
      <w:sz w:val="18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669A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669A8"/>
  </w:style>
  <w:style w:type="character" w:styleId="Hypertextovodkaz">
    <w:name w:val="Hyperlink"/>
    <w:basedOn w:val="Standardnpsmoodstavce"/>
    <w:uiPriority w:val="99"/>
    <w:unhideWhenUsed/>
    <w:rsid w:val="00303B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ealitnicaslav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realitnicaslav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4</Pages>
  <Words>786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Your User Name</cp:lastModifiedBy>
  <cp:revision>19</cp:revision>
  <cp:lastPrinted>2011-12-14T07:04:00Z</cp:lastPrinted>
  <dcterms:created xsi:type="dcterms:W3CDTF">2011-12-13T17:29:00Z</dcterms:created>
  <dcterms:modified xsi:type="dcterms:W3CDTF">2013-05-31T11:47:00Z</dcterms:modified>
</cp:coreProperties>
</file>