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0F86A8C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w:t>
      </w:r>
      <w:r>
        <w:rPr>
          <w:rFonts w:ascii="Calibri" w:hAnsi="Calibri"/>
          <w:b/>
          <w:bCs/>
          <w:sz w:val="22"/>
          <w:szCs w:val="22"/>
        </w:rPr>
        <w:t>b</w:t>
      </w:r>
      <w:r w:rsidRPr="00333B13">
        <w:rPr>
          <w:rFonts w:ascii="Calibri" w:hAnsi="Calibri"/>
          <w:b/>
          <w:bCs/>
          <w:sz w:val="22"/>
          <w:szCs w:val="22"/>
        </w:rPr>
        <w:t xml:space="preserve">)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 xml:space="preserve">Františkem </w:t>
      </w:r>
      <w:proofErr w:type="spellStart"/>
      <w:r w:rsidR="003D269F" w:rsidRPr="001F7F4A">
        <w:rPr>
          <w:rFonts w:ascii="Calibri" w:hAnsi="Calibri" w:cs="Calibri"/>
          <w:sz w:val="22"/>
          <w:szCs w:val="22"/>
        </w:rPr>
        <w:t>Lešundákem</w:t>
      </w:r>
      <w:proofErr w:type="spellEnd"/>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2B77BC10"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00F661A2">
        <w:rPr>
          <w:rFonts w:cs="Calibri"/>
          <w:sz w:val="22"/>
          <w:szCs w:val="22"/>
        </w:rPr>
        <w:t>O</w:t>
      </w:r>
      <w:r w:rsidRPr="001F7F4A">
        <w:rPr>
          <w:rFonts w:cs="Calibri"/>
          <w:sz w:val="22"/>
          <w:szCs w:val="22"/>
        </w:rPr>
        <w:t>:</w:t>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1C27FBA9" w14:textId="1F4FA3B3" w:rsidR="00AF66FC" w:rsidRPr="001F7F4A" w:rsidRDefault="00947DF4" w:rsidP="00F661A2">
      <w:pPr>
        <w:ind w:left="426"/>
        <w:rPr>
          <w:rFonts w:ascii="Calibri" w:hAnsi="Calibri" w:cs="Calibri"/>
          <w:sz w:val="22"/>
          <w:szCs w:val="22"/>
        </w:rPr>
      </w:pPr>
      <w:r w:rsidRPr="001F7F4A">
        <w:rPr>
          <w:rFonts w:ascii="Calibri" w:hAnsi="Calibri" w:cs="Calibri"/>
          <w:sz w:val="22"/>
          <w:szCs w:val="22"/>
        </w:rPr>
        <w:t>Kontaktní osoba ve věcech technických:</w:t>
      </w:r>
    </w:p>
    <w:p w14:paraId="44EE45C1" w14:textId="4D47CBD0" w:rsidR="00AF66FC" w:rsidRDefault="00AF66FC" w:rsidP="00AF66FC">
      <w:pPr>
        <w:ind w:left="426"/>
        <w:rPr>
          <w:rFonts w:ascii="Calibri" w:hAnsi="Calibri" w:cs="Calibri"/>
          <w:sz w:val="22"/>
          <w:szCs w:val="22"/>
        </w:rPr>
      </w:pPr>
      <w:r w:rsidRPr="001F7F4A">
        <w:rPr>
          <w:rFonts w:ascii="Calibri" w:hAnsi="Calibri" w:cs="Calibri"/>
          <w:sz w:val="22"/>
          <w:szCs w:val="22"/>
        </w:rPr>
        <w:t>E-mail:</w:t>
      </w:r>
    </w:p>
    <w:p w14:paraId="5662D6D5" w14:textId="2AEB0C90" w:rsidR="00F661A2" w:rsidRPr="001F7F4A" w:rsidRDefault="00F661A2" w:rsidP="00AF66FC">
      <w:pPr>
        <w:ind w:left="426"/>
        <w:rPr>
          <w:rFonts w:ascii="Calibri" w:hAnsi="Calibri" w:cs="Calibri"/>
          <w:sz w:val="22"/>
          <w:szCs w:val="22"/>
        </w:rPr>
      </w:pPr>
      <w:r>
        <w:rPr>
          <w:rFonts w:ascii="Calibri" w:hAnsi="Calibri" w:cs="Calibri"/>
          <w:sz w:val="22"/>
          <w:szCs w:val="22"/>
        </w:rPr>
        <w:t>Tel.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164DB759"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00F661A2">
        <w:rPr>
          <w:rFonts w:cs="Calibri"/>
          <w:sz w:val="22"/>
          <w:szCs w:val="22"/>
        </w:rPr>
        <w:t>O</w:t>
      </w:r>
      <w:r w:rsidRPr="001F7F4A">
        <w:rPr>
          <w:rFonts w:cs="Calibri"/>
          <w:sz w:val="22"/>
          <w:szCs w:val="22"/>
        </w:rPr>
        <w:t>:</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3E7F8C4D" w:rsidR="00AF66FC" w:rsidRDefault="00AF66FC" w:rsidP="00AF66FC">
      <w:pPr>
        <w:ind w:left="426"/>
        <w:rPr>
          <w:rFonts w:ascii="Calibri" w:hAnsi="Calibri" w:cs="Calibri"/>
          <w:b/>
          <w:bCs/>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3E363DF0" w14:textId="4727DD9B" w:rsidR="00F661A2" w:rsidRPr="00F661A2" w:rsidRDefault="00F661A2" w:rsidP="00AF66FC">
      <w:pPr>
        <w:ind w:left="426"/>
        <w:rPr>
          <w:rFonts w:ascii="Calibri" w:hAnsi="Calibri" w:cs="Calibri"/>
          <w:sz w:val="22"/>
          <w:szCs w:val="22"/>
        </w:rPr>
      </w:pPr>
      <w:r w:rsidRPr="00F661A2">
        <w:rPr>
          <w:rFonts w:ascii="Calibri" w:hAnsi="Calibri" w:cs="Calibri"/>
          <w:sz w:val="22"/>
          <w:szCs w:val="22"/>
        </w:rPr>
        <w:t>Tel.</w:t>
      </w:r>
      <w:r w:rsidR="005000E0" w:rsidRPr="005000E0">
        <w:t xml:space="preserve"> </w:t>
      </w:r>
      <w:r w:rsidR="005000E0"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7C714ED6"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1F7F4A" w:rsidRPr="001F7F4A">
        <w:rPr>
          <w:rFonts w:ascii="Calibri" w:hAnsi="Calibri" w:cs="Calibri"/>
          <w:b/>
          <w:sz w:val="22"/>
          <w:szCs w:val="22"/>
        </w:rPr>
        <w:t>Laboratorní přístrojové vybavení 2</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1 </w:t>
      </w:r>
      <w:proofErr w:type="spellStart"/>
      <w:r w:rsidR="00333B13" w:rsidRPr="00333B13">
        <w:rPr>
          <w:rFonts w:asciiTheme="minorHAnsi" w:hAnsiTheme="minorHAnsi"/>
          <w:b/>
          <w:bCs/>
          <w:sz w:val="22"/>
          <w:szCs w:val="22"/>
        </w:rPr>
        <w:t>Hemokultivační</w:t>
      </w:r>
      <w:proofErr w:type="spellEnd"/>
      <w:r w:rsidR="00333B13" w:rsidRPr="00333B13">
        <w:rPr>
          <w:rFonts w:asciiTheme="minorHAnsi" w:hAnsiTheme="minorHAnsi"/>
          <w:b/>
          <w:bCs/>
          <w:sz w:val="22"/>
          <w:szCs w:val="22"/>
        </w:rPr>
        <w:t xml:space="preserve"> systém</w:t>
      </w:r>
      <w:r w:rsidR="00333B13">
        <w:rPr>
          <w:rFonts w:ascii="Calibri" w:hAnsi="Calibri" w:cs="Calibri"/>
          <w:sz w:val="22"/>
          <w:szCs w:val="22"/>
        </w:rPr>
        <w:t>,</w:t>
      </w:r>
      <w:r w:rsidRPr="001F7F4A">
        <w:rPr>
          <w:rFonts w:ascii="Calibri" w:hAnsi="Calibri" w:cs="Calibri"/>
          <w:sz w:val="22"/>
          <w:szCs w:val="22"/>
        </w:rPr>
        <w:t xml:space="preserve"> ev. č. </w:t>
      </w:r>
      <w:r w:rsidR="001F7F4A" w:rsidRPr="009016D2">
        <w:rPr>
          <w:rFonts w:asciiTheme="minorHAnsi" w:hAnsiTheme="minorHAnsi"/>
          <w:i/>
          <w:iCs/>
          <w:sz w:val="22"/>
          <w:szCs w:val="22"/>
          <w:highlight w:val="lightGray"/>
        </w:rPr>
        <w:t>……………………………. (bude doplněno před podpisem smlouvy)</w:t>
      </w:r>
      <w:r w:rsidR="001F7F4A" w:rsidRPr="001F7F4A">
        <w:rPr>
          <w:rFonts w:ascii="Calibri" w:hAnsi="Calibri" w:cs="Calibri"/>
          <w:sz w:val="22"/>
          <w:szCs w:val="22"/>
        </w:rPr>
        <w:t xml:space="preserve"> </w:t>
      </w:r>
      <w:r w:rsidRPr="001F7F4A">
        <w:rPr>
          <w:rFonts w:ascii="Calibri" w:hAnsi="Calibri" w:cs="Calibri"/>
          <w:sz w:val="22"/>
          <w:szCs w:val="22"/>
        </w:rPr>
        <w:t xml:space="preserve">(dále jen „Veřejná zakázka“). Účelem této smlouvy je úprava práv a povinností smluvních stran při zajištění dodávky zboží na základě podmínek a zadávací dokumentace zadávacího řízení Veřejné </w:t>
      </w:r>
      <w:r w:rsidRPr="001F7F4A">
        <w:rPr>
          <w:rFonts w:ascii="Calibri" w:hAnsi="Calibri" w:cs="Calibri"/>
          <w:sz w:val="22"/>
          <w:szCs w:val="22"/>
        </w:rPr>
        <w:lastRenderedPageBreak/>
        <w:t>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0DE5CF23"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w:t>
      </w:r>
      <w:r w:rsidR="004C190F">
        <w:rPr>
          <w:rFonts w:ascii="Calibri" w:hAnsi="Calibri" w:cs="Calibri"/>
          <w:sz w:val="22"/>
          <w:szCs w:val="22"/>
        </w:rPr>
        <w:t>m</w:t>
      </w:r>
      <w:r w:rsidR="00AE079D">
        <w:rPr>
          <w:rFonts w:ascii="Calibri" w:hAnsi="Calibri" w:cs="Calibri"/>
          <w:sz w:val="22"/>
          <w:szCs w:val="22"/>
        </w:rPr>
        <w:t xml:space="preserve">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F71148">
      <w:pPr>
        <w:pStyle w:val="Bezmezer"/>
        <w:numPr>
          <w:ilvl w:val="0"/>
          <w:numId w:val="22"/>
        </w:numPr>
        <w:tabs>
          <w:tab w:val="left" w:pos="-3261"/>
          <w:tab w:val="left" w:pos="-2835"/>
          <w:tab w:val="left" w:pos="-1276"/>
        </w:tabs>
        <w:suppressAutoHyphens/>
        <w:spacing w:after="240"/>
        <w:ind w:left="426" w:hanging="426"/>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Dílčí smlouva je uzavřena okamžikem, kdy je prodávajícím potvrzena objednávka učiněná </w:t>
      </w:r>
      <w:r w:rsidRPr="001F7F4A">
        <w:rPr>
          <w:rFonts w:ascii="Calibri" w:hAnsi="Calibri" w:cs="Calibri"/>
          <w:sz w:val="22"/>
          <w:szCs w:val="22"/>
        </w:rPr>
        <w:lastRenderedPageBreak/>
        <w:t>kupujícím za podmínek vyjádřených v této smlouvě.</w:t>
      </w:r>
    </w:p>
    <w:p w14:paraId="31A5C1F2"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77777777"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 xml:space="preserve">Prodávající: </w:t>
      </w:r>
      <w:r w:rsidRPr="001F7F4A">
        <w:rPr>
          <w:rFonts w:ascii="Calibri" w:hAnsi="Calibri" w:cs="Calibri"/>
          <w:sz w:val="22"/>
          <w:szCs w:val="22"/>
        </w:rPr>
        <w:tab/>
      </w:r>
      <w:proofErr w:type="gramStart"/>
      <w:r w:rsidRPr="001F7F4A">
        <w:rPr>
          <w:rFonts w:ascii="Calibri" w:hAnsi="Calibri" w:cs="Calibri"/>
          <w:b/>
          <w:bCs/>
          <w:sz w:val="22"/>
          <w:szCs w:val="22"/>
          <w:highlight w:val="yellow"/>
        </w:rPr>
        <w:t>DOPLNÍ  ÚČASTNÍK</w:t>
      </w:r>
      <w:proofErr w:type="gramEnd"/>
      <w:r w:rsidRPr="001F7F4A">
        <w:rPr>
          <w:rFonts w:ascii="Calibri" w:hAnsi="Calibri" w:cs="Calibri"/>
          <w:sz w:val="22"/>
          <w:szCs w:val="22"/>
          <w:highlight w:val="yellow"/>
        </w:rPr>
        <w:t>…………………………..@.......................</w:t>
      </w:r>
      <w:r w:rsidRPr="001F7F4A">
        <w:rPr>
          <w:rFonts w:ascii="Calibri" w:hAnsi="Calibri" w:cs="Calibri"/>
          <w:sz w:val="22"/>
          <w:szCs w:val="22"/>
        </w:rPr>
        <w:t>.</w:t>
      </w:r>
    </w:p>
    <w:p w14:paraId="508879D3" w14:textId="15350671" w:rsidR="00E71DB4" w:rsidRPr="003C73E9" w:rsidRDefault="00B57DD9" w:rsidP="003C73E9">
      <w:pPr>
        <w:pStyle w:val="Odstavecseseznamem"/>
        <w:numPr>
          <w:ilvl w:val="0"/>
          <w:numId w:val="11"/>
        </w:numPr>
        <w:rPr>
          <w:szCs w:val="22"/>
        </w:rPr>
      </w:pPr>
      <w:proofErr w:type="gramStart"/>
      <w:r w:rsidRPr="003C73E9">
        <w:rPr>
          <w:rFonts w:ascii="Calibri" w:hAnsi="Calibri" w:cs="Calibri"/>
          <w:szCs w:val="22"/>
        </w:rPr>
        <w:t>Kupující:</w:t>
      </w:r>
      <w:r w:rsidR="005000E0">
        <w:rPr>
          <w:rFonts w:ascii="Calibri" w:hAnsi="Calibri" w:cs="Calibri"/>
          <w:szCs w:val="22"/>
        </w:rPr>
        <w:t xml:space="preserve">   </w:t>
      </w:r>
      <w:proofErr w:type="gramEnd"/>
      <w:r w:rsidR="005000E0">
        <w:rPr>
          <w:rFonts w:ascii="Calibri" w:hAnsi="Calibri" w:cs="Calibri"/>
          <w:szCs w:val="22"/>
        </w:rPr>
        <w:t xml:space="preserve">        </w:t>
      </w:r>
      <w:r w:rsidR="00E71DB4" w:rsidRPr="00987027">
        <w:rPr>
          <w:rFonts w:ascii="Calibri" w:hAnsi="Calibri" w:cs="Calibri"/>
        </w:rPr>
        <w:t xml:space="preserve">MUDr. Hana Podivínská, zástupce primáře, laboratoř IDG LIN, email: </w:t>
      </w:r>
      <w:hyperlink r:id="rId11" w:history="1">
        <w:r w:rsidR="00E71DB4" w:rsidRPr="00987027">
          <w:rPr>
            <w:rStyle w:val="Hypertextovodkaz"/>
            <w:rFonts w:ascii="Calibri" w:hAnsi="Calibri" w:cs="Calibri"/>
          </w:rPr>
          <w:t>hana.podivinska@nempk.cz</w:t>
        </w:r>
      </w:hyperlink>
      <w:r w:rsidR="00E71DB4" w:rsidRPr="00987027">
        <w:rPr>
          <w:rFonts w:ascii="Calibri" w:hAnsi="Calibri" w:cs="Calibri"/>
        </w:rPr>
        <w:t>, tel. 461 655 412, 731 861 048</w:t>
      </w:r>
      <w:r w:rsidR="00E71DB4">
        <w:t>.</w:t>
      </w: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5FCD1CFE"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proofErr w:type="gramStart"/>
      <w:r w:rsidR="00D578E0">
        <w:rPr>
          <w:rFonts w:ascii="Calibri" w:hAnsi="Calibri" w:cs="Calibri"/>
          <w:sz w:val="22"/>
          <w:szCs w:val="22"/>
        </w:rPr>
        <w:t>hana.podivinska@nempk.cz</w:t>
      </w:r>
      <w:r w:rsidR="001A7DF1" w:rsidRPr="001F7F4A">
        <w:rPr>
          <w:rFonts w:ascii="Calibri" w:hAnsi="Calibri" w:cs="Calibri"/>
          <w:sz w:val="22"/>
          <w:szCs w:val="22"/>
        </w:rPr>
        <w:t xml:space="preserve"> </w:t>
      </w:r>
      <w:r w:rsidRPr="001F7F4A">
        <w:rPr>
          <w:rFonts w:ascii="Calibri" w:hAnsi="Calibri" w:cs="Calibri"/>
          <w:sz w:val="22"/>
          <w:szCs w:val="22"/>
        </w:rPr>
        <w:t>.</w:t>
      </w:r>
      <w:proofErr w:type="gramEnd"/>
    </w:p>
    <w:p w14:paraId="24B20CC6" w14:textId="0DCE4182"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4C190F">
      <w:pPr>
        <w:pStyle w:val="Bezmezer"/>
        <w:numPr>
          <w:ilvl w:val="0"/>
          <w:numId w:val="22"/>
        </w:numPr>
        <w:suppressAutoHyphens/>
        <w:spacing w:after="240"/>
        <w:ind w:left="426" w:hanging="426"/>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w:t>
      </w:r>
      <w:proofErr w:type="spellStart"/>
      <w:r w:rsidRPr="001F7F4A">
        <w:rPr>
          <w:rFonts w:ascii="Calibri" w:hAnsi="Calibri" w:cs="Calibri"/>
          <w:sz w:val="22"/>
          <w:szCs w:val="22"/>
        </w:rPr>
        <w:t>pdf</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csv</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xls</w:t>
      </w:r>
      <w:proofErr w:type="spellEnd"/>
      <w:r w:rsidRPr="001F7F4A">
        <w:rPr>
          <w:rFonts w:ascii="Calibri" w:hAnsi="Calibri" w:cs="Calibri"/>
          <w:sz w:val="22"/>
          <w:szCs w:val="22"/>
        </w:rPr>
        <w:t xml:space="preserve">(x), </w:t>
      </w:r>
      <w:proofErr w:type="spellStart"/>
      <w:r w:rsidRPr="001F7F4A">
        <w:rPr>
          <w:rFonts w:ascii="Calibri" w:hAnsi="Calibri" w:cs="Calibri"/>
          <w:sz w:val="22"/>
          <w:szCs w:val="22"/>
        </w:rPr>
        <w:t>xml</w:t>
      </w:r>
      <w:proofErr w:type="spellEnd"/>
      <w:r w:rsidRPr="001F7F4A">
        <w:rPr>
          <w:rFonts w:ascii="Calibri" w:hAnsi="Calibri" w:cs="Calibri"/>
          <w:sz w:val="22"/>
          <w:szCs w:val="22"/>
        </w:rPr>
        <w:t xml:space="preserve"> nebo PDK; případně vyplněním formuláře zaslaného současně s objednávkou kupujícím. </w:t>
      </w:r>
    </w:p>
    <w:p w14:paraId="4A8CCEEB"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xml:space="preserve">) při převzetí zboží uvede na dodací list své jméno a podpis, v případě zjištěných nedostatků uvede i tuto skutečnost s konkrétním vymezením zjištěných vad dodaného zboží. V případě potřeby uvede </w:t>
      </w:r>
      <w:r w:rsidRPr="001F7F4A">
        <w:rPr>
          <w:rFonts w:ascii="Calibri" w:hAnsi="Calibri" w:cs="Calibri"/>
          <w:sz w:val="22"/>
          <w:szCs w:val="22"/>
        </w:rPr>
        <w:lastRenderedPageBreak/>
        <w:t>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je oprávněn po splnění předmětu objednávky vystavit fakturu.</w:t>
      </w:r>
    </w:p>
    <w:p w14:paraId="54FEB629"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766F4A4E"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2C1653">
        <w:rPr>
          <w:rFonts w:ascii="Calibri" w:hAnsi="Calibri" w:cs="Calibri"/>
          <w:sz w:val="22"/>
          <w:szCs w:val="22"/>
        </w:rPr>
        <w:t>Litomyšlská</w:t>
      </w:r>
      <w:r w:rsidR="002C1653" w:rsidRPr="002378BD">
        <w:rPr>
          <w:rFonts w:ascii="Calibri" w:hAnsi="Calibri" w:cs="Calibri"/>
          <w:sz w:val="22"/>
          <w:szCs w:val="22"/>
        </w:rPr>
        <w:t xml:space="preserve"> nemocnice, J. E. Purkyně 652, 570 14 Litomyšl</w:t>
      </w:r>
      <w:bookmarkEnd w:id="1"/>
      <w:r w:rsidR="003C73E9">
        <w:rPr>
          <w:rFonts w:ascii="Calibri" w:hAnsi="Calibri" w:cs="Calibri"/>
          <w:sz w:val="22"/>
          <w:szCs w:val="22"/>
        </w:rPr>
        <w:t>,</w:t>
      </w:r>
      <w:r w:rsidR="005000E0">
        <w:rPr>
          <w:rFonts w:ascii="Calibri" w:hAnsi="Calibri" w:cs="Calibri"/>
          <w:sz w:val="22"/>
          <w:szCs w:val="22"/>
        </w:rPr>
        <w:t xml:space="preserve"> </w:t>
      </w:r>
      <w:r w:rsidR="000E144B">
        <w:rPr>
          <w:rFonts w:ascii="Calibri" w:hAnsi="Calibri" w:cs="Calibri"/>
          <w:sz w:val="22"/>
          <w:szCs w:val="22"/>
        </w:rPr>
        <w:t>pracoviště IDG.</w:t>
      </w:r>
    </w:p>
    <w:p w14:paraId="4238F2D0"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w:t>
      </w:r>
      <w:proofErr w:type="gramStart"/>
      <w:r w:rsidRPr="001F7F4A">
        <w:rPr>
          <w:rFonts w:ascii="Calibri" w:hAnsi="Calibri" w:cs="Calibri"/>
          <w:sz w:val="22"/>
          <w:szCs w:val="22"/>
        </w:rPr>
        <w:t>pojištění,</w:t>
      </w:r>
      <w:proofErr w:type="gramEnd"/>
      <w:r w:rsidRPr="001F7F4A">
        <w:rPr>
          <w:rFonts w:ascii="Calibri" w:hAnsi="Calibri" w:cs="Calibri"/>
          <w:sz w:val="22"/>
          <w:szCs w:val="22"/>
        </w:rPr>
        <w:t xml:space="preserve"> apod.).</w:t>
      </w:r>
    </w:p>
    <w:p w14:paraId="78163AC3" w14:textId="77777777" w:rsidR="00B57DD9" w:rsidRPr="001F7F4A" w:rsidRDefault="00B57DD9" w:rsidP="00F71148">
      <w:pPr>
        <w:pStyle w:val="Bezmezer"/>
        <w:numPr>
          <w:ilvl w:val="0"/>
          <w:numId w:val="22"/>
        </w:numPr>
        <w:suppressAutoHyphens/>
        <w:spacing w:after="240"/>
        <w:ind w:left="426" w:hanging="426"/>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F71148">
      <w:pPr>
        <w:pStyle w:val="Bezmezer"/>
        <w:numPr>
          <w:ilvl w:val="0"/>
          <w:numId w:val="22"/>
        </w:numPr>
        <w:suppressAutoHyphens/>
        <w:spacing w:after="240"/>
        <w:ind w:left="426" w:hanging="426"/>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lastRenderedPageBreak/>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2"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w:t>
      </w:r>
      <w:r w:rsidRPr="001F7F4A">
        <w:rPr>
          <w:rFonts w:ascii="Calibri" w:hAnsi="Calibri" w:cs="Calibri"/>
          <w:sz w:val="22"/>
          <w:szCs w:val="22"/>
        </w:rPr>
        <w:lastRenderedPageBreak/>
        <w:t xml:space="preserve">prodávající neplní kterýkoliv termín stanovený v této smlouvě nebo pokud je prodlení s plněním jakéhokoliv závazku vůči kupujícímu podle této smlouvy. </w:t>
      </w:r>
    </w:p>
    <w:p w14:paraId="206A7A4F"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181C356D" w:rsidR="00B57DD9" w:rsidRPr="00727F09" w:rsidRDefault="003C73E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F71148">
      <w:pPr>
        <w:pStyle w:val="Odstavecseseznamem"/>
        <w:numPr>
          <w:ilvl w:val="0"/>
          <w:numId w:val="20"/>
        </w:numPr>
        <w:autoSpaceDE w:val="0"/>
        <w:autoSpaceDN w:val="0"/>
        <w:adjustRightInd w:val="0"/>
        <w:spacing w:after="240"/>
        <w:ind w:left="426" w:hanging="426"/>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lastRenderedPageBreak/>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967E67">
      <w:pPr>
        <w:pStyle w:val="Zkladntext"/>
        <w:widowControl w:val="0"/>
        <w:numPr>
          <w:ilvl w:val="0"/>
          <w:numId w:val="17"/>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249"/>
        <w:gridCol w:w="2635"/>
        <w:gridCol w:w="1304"/>
        <w:gridCol w:w="2448"/>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proofErr w:type="gramStart"/>
            <w:r w:rsidRPr="001F7F4A">
              <w:rPr>
                <w:rFonts w:ascii="Calibri" w:hAnsi="Calibri" w:cs="Calibri"/>
                <w:b/>
                <w:sz w:val="22"/>
                <w:szCs w:val="22"/>
              </w:rPr>
              <w:t>Kupující - Pověřená</w:t>
            </w:r>
            <w:proofErr w:type="gramEnd"/>
            <w:r w:rsidRPr="001F7F4A">
              <w:rPr>
                <w:rFonts w:ascii="Calibri" w:hAnsi="Calibri" w:cs="Calibri"/>
                <w:b/>
                <w:sz w:val="22"/>
                <w:szCs w:val="22"/>
              </w:rPr>
              <w:t xml:space="preserve">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F71148">
      <w:pPr>
        <w:widowControl w:val="0"/>
        <w:numPr>
          <w:ilvl w:val="0"/>
          <w:numId w:val="18"/>
        </w:numPr>
        <w:tabs>
          <w:tab w:val="left" w:pos="426"/>
        </w:tabs>
        <w:suppressAutoHyphens/>
        <w:spacing w:after="60"/>
        <w:ind w:left="426" w:hanging="42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souhlasí se zveřejněním všech náležitostí smluvního vztahu včetně kupní smlouvy a výsledků zadávacího řízení na profilu kupujícího. V případě uzavření smlouvy na plnění této </w:t>
      </w:r>
      <w:r w:rsidRPr="001F7F4A">
        <w:rPr>
          <w:rFonts w:ascii="Calibri" w:hAnsi="Calibri" w:cs="Calibri"/>
          <w:sz w:val="22"/>
          <w:szCs w:val="22"/>
        </w:rPr>
        <w:lastRenderedPageBreak/>
        <w:t>veřejné zakázky Prodávající souhlasí s uveřejněním smlouvy a dílčích objednávek v souladu se zákonem č. 340/2015 Sb., o registru smluv.</w:t>
      </w:r>
    </w:p>
    <w:p w14:paraId="22C0245C" w14:textId="77777777"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967E67">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967E67">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proofErr w:type="gramStart"/>
      <w:r>
        <w:rPr>
          <w:rFonts w:ascii="Calibri" w:hAnsi="Calibri" w:cs="Calibri"/>
          <w:sz w:val="22"/>
          <w:szCs w:val="22"/>
        </w:rPr>
        <w:t>1.000,-</w:t>
      </w:r>
      <w:proofErr w:type="gramEnd"/>
      <w:r>
        <w:rPr>
          <w:rFonts w:ascii="Calibri" w:hAnsi="Calibri" w:cs="Calibri"/>
          <w:sz w:val="22"/>
          <w:szCs w:val="22"/>
        </w:rPr>
        <w:t xml:space="preserve"> Kč</w:t>
      </w:r>
      <w:r w:rsidRPr="001F7F4A">
        <w:rPr>
          <w:rFonts w:ascii="Calibri" w:hAnsi="Calibri" w:cs="Calibri"/>
          <w:sz w:val="22"/>
          <w:szCs w:val="22"/>
        </w:rPr>
        <w:t xml:space="preserve"> za každý i započatý den prodlení.</w:t>
      </w:r>
    </w:p>
    <w:p w14:paraId="5194EFAE" w14:textId="2ECAFCE3"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bookmarkStart w:id="3" w:name="_Hlk536537602"/>
      <w:r w:rsidRPr="001F7F4A">
        <w:rPr>
          <w:rFonts w:ascii="Calibri" w:hAnsi="Calibri" w:cs="Calibri"/>
          <w:sz w:val="22"/>
          <w:szCs w:val="22"/>
        </w:rPr>
        <w:t xml:space="preserve">Prodávající se zavazuje v případě, že neodstraní oprávněně reklamované vady ve lhůtách stanovených touto smlouvou, uhradit kupujícímu smluvní pokutu ve výši </w:t>
      </w:r>
      <w:proofErr w:type="gramStart"/>
      <w:r w:rsidRPr="001F7F4A">
        <w:rPr>
          <w:rFonts w:ascii="Calibri" w:hAnsi="Calibri" w:cs="Calibri"/>
          <w:sz w:val="22"/>
          <w:szCs w:val="22"/>
        </w:rPr>
        <w:t>1.000</w:t>
      </w:r>
      <w:r w:rsidR="00804865">
        <w:rPr>
          <w:rFonts w:ascii="Calibri" w:hAnsi="Calibri" w:cs="Calibri"/>
          <w:sz w:val="22"/>
          <w:szCs w:val="22"/>
        </w:rPr>
        <w:t>,-</w:t>
      </w:r>
      <w:proofErr w:type="gramEnd"/>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967E67">
      <w:pPr>
        <w:pStyle w:val="Odstavecseseznamem"/>
        <w:numPr>
          <w:ilvl w:val="0"/>
          <w:numId w:val="19"/>
        </w:numPr>
        <w:tabs>
          <w:tab w:val="left" w:pos="-3261"/>
          <w:tab w:val="left" w:pos="-2835"/>
          <w:tab w:val="left" w:pos="-1276"/>
        </w:tabs>
        <w:autoSpaceDE w:val="0"/>
        <w:autoSpaceDN w:val="0"/>
        <w:adjustRightInd w:val="0"/>
        <w:spacing w:after="240"/>
        <w:ind w:left="426" w:hanging="426"/>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Smluvní strany jsou povinny bez zbytečného prodlení písemně informovat ostatní o jakékoliv </w:t>
      </w:r>
      <w:r w:rsidRPr="001F7F4A">
        <w:rPr>
          <w:rFonts w:ascii="Calibri" w:hAnsi="Calibri" w:cs="Calibri"/>
          <w:sz w:val="22"/>
          <w:szCs w:val="22"/>
        </w:rPr>
        <w:lastRenderedPageBreak/>
        <w:t>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6E78C2E2" w14:textId="6651869B"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4F3D32C8" w14:textId="77777777" w:rsidR="00B7772B" w:rsidRDefault="00B7772B" w:rsidP="00B57DD9">
      <w:pPr>
        <w:pStyle w:val="Zkladntext"/>
        <w:tabs>
          <w:tab w:val="left" w:pos="-3261"/>
          <w:tab w:val="left" w:pos="-2835"/>
          <w:tab w:val="left" w:pos="-1276"/>
        </w:tabs>
        <w:rPr>
          <w:rFonts w:ascii="Calibri" w:hAnsi="Calibri" w:cs="Calibri"/>
          <w:sz w:val="22"/>
          <w:szCs w:val="22"/>
        </w:rPr>
      </w:pPr>
    </w:p>
    <w:p w14:paraId="10A4EAF4" w14:textId="20F51D3C"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005000E0">
        <w:rPr>
          <w:rFonts w:ascii="Calibri" w:hAnsi="Calibri" w:cs="Calibri"/>
          <w:sz w:val="22"/>
          <w:szCs w:val="22"/>
        </w:rPr>
        <w:t xml:space="preserve"> </w:t>
      </w:r>
      <w:r w:rsidRPr="001F7F4A">
        <w:rPr>
          <w:rFonts w:ascii="Calibri" w:hAnsi="Calibri" w:cs="Calibri"/>
          <w:sz w:val="22"/>
          <w:szCs w:val="22"/>
        </w:rPr>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w:t>
      </w:r>
      <w:proofErr w:type="gramStart"/>
      <w:r w:rsidRPr="001F7F4A">
        <w:rPr>
          <w:rFonts w:ascii="Calibri" w:hAnsi="Calibri" w:cs="Calibri"/>
          <w:sz w:val="22"/>
          <w:szCs w:val="22"/>
        </w:rPr>
        <w:t>…….</w:t>
      </w:r>
      <w:proofErr w:type="gramEnd"/>
      <w:r w:rsidRPr="001F7F4A">
        <w:rPr>
          <w:rFonts w:ascii="Calibri" w:hAnsi="Calibri" w:cs="Calibri"/>
          <w:sz w:val="22"/>
          <w:szCs w:val="22"/>
        </w:rPr>
        <w:t>.…… dne</w:t>
      </w:r>
    </w:p>
    <w:p w14:paraId="08A51C3E" w14:textId="77777777" w:rsidR="00B7772B" w:rsidRDefault="00B7772B" w:rsidP="00AF66FC">
      <w:pPr>
        <w:shd w:val="clear" w:color="auto" w:fill="FFFFFF" w:themeFill="background1"/>
        <w:rPr>
          <w:rFonts w:ascii="Calibri" w:hAnsi="Calibri" w:cs="Calibri"/>
          <w:sz w:val="22"/>
          <w:szCs w:val="22"/>
        </w:rPr>
      </w:pPr>
    </w:p>
    <w:p w14:paraId="1A09D2CD" w14:textId="79D20209"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41392B7F" w:rsidR="00AF66FC" w:rsidRDefault="00AF66FC" w:rsidP="00AF66FC">
      <w:pPr>
        <w:rPr>
          <w:rFonts w:ascii="Calibri" w:hAnsi="Calibri" w:cs="Calibri"/>
          <w:sz w:val="22"/>
          <w:szCs w:val="22"/>
          <w:shd w:val="clear" w:color="auto" w:fill="FFFFFF" w:themeFill="background1"/>
        </w:rPr>
      </w:pPr>
    </w:p>
    <w:p w14:paraId="49469116" w14:textId="3338CCB0" w:rsidR="00B7772B" w:rsidRDefault="00B7772B" w:rsidP="00AF66FC">
      <w:pPr>
        <w:rPr>
          <w:rFonts w:ascii="Calibri" w:hAnsi="Calibri" w:cs="Calibri"/>
          <w:sz w:val="22"/>
          <w:szCs w:val="22"/>
          <w:shd w:val="clear" w:color="auto" w:fill="FFFFFF" w:themeFill="background1"/>
        </w:rPr>
      </w:pPr>
    </w:p>
    <w:p w14:paraId="251151A8" w14:textId="24766C14" w:rsidR="00B7772B" w:rsidRDefault="00B7772B" w:rsidP="00AF66FC">
      <w:pPr>
        <w:rPr>
          <w:rFonts w:ascii="Calibri" w:hAnsi="Calibri" w:cs="Calibri"/>
          <w:sz w:val="22"/>
          <w:szCs w:val="22"/>
          <w:shd w:val="clear" w:color="auto" w:fill="FFFFFF" w:themeFill="background1"/>
        </w:rPr>
      </w:pPr>
    </w:p>
    <w:p w14:paraId="6E1D1122" w14:textId="77777777" w:rsidR="00B7772B" w:rsidRPr="001F7F4A" w:rsidRDefault="00B7772B" w:rsidP="00AF66FC">
      <w:pPr>
        <w:rPr>
          <w:rFonts w:ascii="Calibri" w:hAnsi="Calibri" w:cs="Calibri"/>
          <w:sz w:val="22"/>
          <w:szCs w:val="22"/>
          <w:shd w:val="clear" w:color="auto" w:fill="FFFFFF" w:themeFill="background1"/>
        </w:rPr>
      </w:pPr>
    </w:p>
    <w:p w14:paraId="5AF6712C" w14:textId="3634B310" w:rsidR="00AF66FC" w:rsidRPr="001F7F4A" w:rsidRDefault="00B7772B" w:rsidP="00B7772B">
      <w:pPr>
        <w:tabs>
          <w:tab w:val="left" w:pos="4962"/>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235AB938" w:rsidR="00AF66FC" w:rsidRPr="001F7F4A" w:rsidRDefault="00B7772B" w:rsidP="005F08E4">
      <w:pPr>
        <w:tabs>
          <w:tab w:val="left" w:pos="4962"/>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77777777"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w:t>
      </w:r>
      <w:proofErr w:type="gramStart"/>
      <w:r>
        <w:rPr>
          <w:rFonts w:ascii="Calibri" w:hAnsi="Calibri" w:cs="Calibri"/>
          <w:b/>
          <w:sz w:val="22"/>
          <w:szCs w:val="22"/>
        </w:rPr>
        <w:t>rozpočet - reagencie</w:t>
      </w:r>
      <w:proofErr w:type="gramEnd"/>
    </w:p>
    <w:p w14:paraId="0F08BCA2" w14:textId="77777777" w:rsidR="004368F7" w:rsidRDefault="004368F7" w:rsidP="004368F7">
      <w:pPr>
        <w:rPr>
          <w:rFonts w:ascii="Calibri" w:hAnsi="Calibri" w:cs="Calibri"/>
          <w:b/>
          <w:sz w:val="22"/>
          <w:szCs w:val="22"/>
        </w:rPr>
      </w:pPr>
    </w:p>
    <w:tbl>
      <w:tblPr>
        <w:tblW w:w="5150" w:type="pct"/>
        <w:tblCellMar>
          <w:left w:w="70" w:type="dxa"/>
          <w:right w:w="70" w:type="dxa"/>
        </w:tblCellMar>
        <w:tblLook w:val="00A0" w:firstRow="1" w:lastRow="0" w:firstColumn="1" w:lastColumn="0" w:noHBand="0" w:noVBand="0"/>
      </w:tblPr>
      <w:tblGrid>
        <w:gridCol w:w="1714"/>
        <w:gridCol w:w="1708"/>
        <w:gridCol w:w="1498"/>
        <w:gridCol w:w="957"/>
        <w:gridCol w:w="1647"/>
        <w:gridCol w:w="1789"/>
      </w:tblGrid>
      <w:tr w:rsidR="004368F7" w14:paraId="20B634A5" w14:textId="77777777" w:rsidTr="004368F7">
        <w:trPr>
          <w:trHeight w:val="805"/>
        </w:trPr>
        <w:tc>
          <w:tcPr>
            <w:tcW w:w="946"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Popis, název</w:t>
            </w:r>
          </w:p>
        </w:tc>
        <w:tc>
          <w:tcPr>
            <w:tcW w:w="943"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C11D63E"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Požadovaná hodnota,</w:t>
            </w:r>
          </w:p>
          <w:p w14:paraId="5354F3D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doplněk názvu</w:t>
            </w:r>
          </w:p>
        </w:tc>
        <w:tc>
          <w:tcPr>
            <w:tcW w:w="83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112516C"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(bez DPH)</w:t>
            </w:r>
          </w:p>
        </w:tc>
        <w:tc>
          <w:tcPr>
            <w:tcW w:w="385"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91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B8D03F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(včetně DPH)</w:t>
            </w:r>
          </w:p>
        </w:tc>
        <w:tc>
          <w:tcPr>
            <w:tcW w:w="986"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4368F7" w14:paraId="329DDD34" w14:textId="77777777" w:rsidTr="004368F7">
        <w:trPr>
          <w:trHeight w:val="466"/>
        </w:trPr>
        <w:tc>
          <w:tcPr>
            <w:tcW w:w="946"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77777777" w:rsidR="004368F7" w:rsidRDefault="004368F7">
            <w:pPr>
              <w:pStyle w:val="Bezmezer"/>
              <w:spacing w:line="256" w:lineRule="auto"/>
              <w:rPr>
                <w:rFonts w:asciiTheme="minorHAnsi" w:hAnsiTheme="minorHAnsi" w:cstheme="minorHAnsi"/>
                <w:bCs/>
                <w:i/>
                <w:iCs/>
                <w:sz w:val="18"/>
                <w:szCs w:val="20"/>
              </w:rPr>
            </w:pPr>
            <w:r>
              <w:rPr>
                <w:rFonts w:asciiTheme="minorHAnsi" w:hAnsiTheme="minorHAnsi" w:cstheme="minorHAnsi"/>
                <w:bCs/>
                <w:i/>
                <w:iCs/>
                <w:sz w:val="18"/>
                <w:szCs w:val="18"/>
              </w:rPr>
              <w:t>(</w:t>
            </w:r>
            <w:r>
              <w:rPr>
                <w:rFonts w:cs="Calibri"/>
                <w:i/>
                <w:iCs/>
                <w:sz w:val="18"/>
                <w:szCs w:val="18"/>
              </w:rPr>
              <w:t>Aerobní lahvičky)</w:t>
            </w:r>
          </w:p>
        </w:tc>
        <w:tc>
          <w:tcPr>
            <w:tcW w:w="943" w:type="pct"/>
            <w:tcBorders>
              <w:top w:val="single" w:sz="12" w:space="0" w:color="auto"/>
              <w:left w:val="single" w:sz="12" w:space="0" w:color="auto"/>
              <w:bottom w:val="single" w:sz="12" w:space="0" w:color="auto"/>
              <w:right w:val="single" w:sz="12" w:space="0" w:color="auto"/>
            </w:tcBorders>
            <w:vAlign w:val="center"/>
            <w:hideMark/>
          </w:tcPr>
          <w:p w14:paraId="41DA87F2"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4368F7" w14:paraId="72FE3292" w14:textId="77777777" w:rsidTr="004368F7">
        <w:trPr>
          <w:trHeight w:val="466"/>
        </w:trPr>
        <w:tc>
          <w:tcPr>
            <w:tcW w:w="946"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77777777" w:rsidR="004368F7" w:rsidRDefault="004368F7">
            <w:pPr>
              <w:pStyle w:val="Bezmezer"/>
              <w:spacing w:line="256" w:lineRule="auto"/>
              <w:rPr>
                <w:rFonts w:asciiTheme="minorHAnsi" w:hAnsiTheme="minorHAnsi" w:cstheme="minorHAnsi"/>
                <w:bCs/>
                <w:i/>
                <w:iCs/>
                <w:sz w:val="18"/>
                <w:szCs w:val="20"/>
              </w:rPr>
            </w:pPr>
            <w:r>
              <w:rPr>
                <w:rFonts w:cs="Calibri"/>
                <w:i/>
                <w:iCs/>
                <w:sz w:val="18"/>
                <w:szCs w:val="18"/>
              </w:rPr>
              <w:t>(Anaerobní lahvičky)</w:t>
            </w:r>
          </w:p>
        </w:tc>
        <w:tc>
          <w:tcPr>
            <w:tcW w:w="943" w:type="pct"/>
            <w:tcBorders>
              <w:top w:val="single" w:sz="12" w:space="0" w:color="auto"/>
              <w:left w:val="single" w:sz="12" w:space="0" w:color="auto"/>
              <w:bottom w:val="single" w:sz="12" w:space="0" w:color="auto"/>
              <w:right w:val="single" w:sz="12" w:space="0" w:color="auto"/>
            </w:tcBorders>
            <w:vAlign w:val="center"/>
            <w:hideMark/>
          </w:tcPr>
          <w:p w14:paraId="65E32B59"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E4D61" w14:textId="77777777" w:rsidR="00461285" w:rsidRDefault="00461285" w:rsidP="00333B13">
      <w:r>
        <w:separator/>
      </w:r>
    </w:p>
  </w:endnote>
  <w:endnote w:type="continuationSeparator" w:id="0">
    <w:p w14:paraId="4AD5F026" w14:textId="77777777" w:rsidR="00461285" w:rsidRDefault="00461285"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proofErr w:type="spellStart"/>
    <w:r w:rsidRPr="00F07CDA">
      <w:rPr>
        <w:rFonts w:ascii="Calibri" w:hAnsi="Calibri"/>
        <w:i/>
        <w:iCs/>
        <w:sz w:val="20"/>
        <w:szCs w:val="20"/>
      </w:rPr>
      <w:t>reg</w:t>
    </w:r>
    <w:proofErr w:type="spellEnd"/>
    <w:r w:rsidRPr="00F07CDA">
      <w:rPr>
        <w:rFonts w:ascii="Calibri" w:hAnsi="Calibri"/>
        <w:i/>
        <w:iCs/>
        <w:sz w:val="20"/>
        <w:szCs w:val="20"/>
      </w:rPr>
      <w:t>.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A61E2" w14:textId="77777777" w:rsidR="00461285" w:rsidRDefault="00461285" w:rsidP="00333B13">
      <w:r>
        <w:separator/>
      </w:r>
    </w:p>
  </w:footnote>
  <w:footnote w:type="continuationSeparator" w:id="0">
    <w:p w14:paraId="56A4BCAA" w14:textId="77777777" w:rsidR="00461285" w:rsidRDefault="00461285"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47195BAF" w:rsidR="00333B13" w:rsidRDefault="00F661A2">
    <w:pPr>
      <w:pStyle w:val="Zhlav"/>
    </w:pP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124AAA3">
          <wp:simplePos x="0" y="0"/>
          <wp:positionH relativeFrom="margin">
            <wp:posOffset>-415290</wp:posOffset>
          </wp:positionH>
          <wp:positionV relativeFrom="paragraph">
            <wp:posOffset>-250825</wp:posOffset>
          </wp:positionV>
          <wp:extent cx="4194175" cy="739140"/>
          <wp:effectExtent l="0" t="0" r="0" b="381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57A9165D">
          <wp:simplePos x="0" y="0"/>
          <wp:positionH relativeFrom="margin">
            <wp:posOffset>3976260</wp:posOffset>
          </wp:positionH>
          <wp:positionV relativeFrom="paragraph">
            <wp:posOffset>-141301</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95334"/>
    <w:rsid w:val="000D1A86"/>
    <w:rsid w:val="000E144B"/>
    <w:rsid w:val="000F2E1E"/>
    <w:rsid w:val="00155666"/>
    <w:rsid w:val="001736AD"/>
    <w:rsid w:val="001771D3"/>
    <w:rsid w:val="001A3593"/>
    <w:rsid w:val="001A7DF1"/>
    <w:rsid w:val="001F7F4A"/>
    <w:rsid w:val="0023390B"/>
    <w:rsid w:val="002B7F32"/>
    <w:rsid w:val="002C1653"/>
    <w:rsid w:val="00310376"/>
    <w:rsid w:val="00333B13"/>
    <w:rsid w:val="00362208"/>
    <w:rsid w:val="00370B24"/>
    <w:rsid w:val="003C73E9"/>
    <w:rsid w:val="003C79D5"/>
    <w:rsid w:val="003D269F"/>
    <w:rsid w:val="004368F7"/>
    <w:rsid w:val="00461285"/>
    <w:rsid w:val="004839E6"/>
    <w:rsid w:val="004A6194"/>
    <w:rsid w:val="004C190F"/>
    <w:rsid w:val="004C4CC3"/>
    <w:rsid w:val="005000E0"/>
    <w:rsid w:val="005054FB"/>
    <w:rsid w:val="0053243A"/>
    <w:rsid w:val="00593181"/>
    <w:rsid w:val="00596418"/>
    <w:rsid w:val="005F08E4"/>
    <w:rsid w:val="00616DD3"/>
    <w:rsid w:val="0063552D"/>
    <w:rsid w:val="00681FE2"/>
    <w:rsid w:val="006F7161"/>
    <w:rsid w:val="00727F09"/>
    <w:rsid w:val="007E62E9"/>
    <w:rsid w:val="00804865"/>
    <w:rsid w:val="008323DA"/>
    <w:rsid w:val="00837594"/>
    <w:rsid w:val="00944424"/>
    <w:rsid w:val="00947DF4"/>
    <w:rsid w:val="009541A4"/>
    <w:rsid w:val="00967E67"/>
    <w:rsid w:val="009701BE"/>
    <w:rsid w:val="00980327"/>
    <w:rsid w:val="009811A9"/>
    <w:rsid w:val="00987027"/>
    <w:rsid w:val="009A1777"/>
    <w:rsid w:val="009A1B48"/>
    <w:rsid w:val="009A5465"/>
    <w:rsid w:val="009B51E3"/>
    <w:rsid w:val="009D0020"/>
    <w:rsid w:val="009F154A"/>
    <w:rsid w:val="00AE079D"/>
    <w:rsid w:val="00AE46C4"/>
    <w:rsid w:val="00AF66FC"/>
    <w:rsid w:val="00B57DD9"/>
    <w:rsid w:val="00B6305A"/>
    <w:rsid w:val="00B7772B"/>
    <w:rsid w:val="00C5589A"/>
    <w:rsid w:val="00C56BFB"/>
    <w:rsid w:val="00C81288"/>
    <w:rsid w:val="00C964FD"/>
    <w:rsid w:val="00CB2431"/>
    <w:rsid w:val="00D578E0"/>
    <w:rsid w:val="00DA1AB6"/>
    <w:rsid w:val="00E07D01"/>
    <w:rsid w:val="00E16722"/>
    <w:rsid w:val="00E55331"/>
    <w:rsid w:val="00E71DB4"/>
    <w:rsid w:val="00EB2EB2"/>
    <w:rsid w:val="00EC5737"/>
    <w:rsid w:val="00F007BB"/>
    <w:rsid w:val="00F07CDA"/>
    <w:rsid w:val="00F661A2"/>
    <w:rsid w:val="00F71148"/>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a.podivinska@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4.xml><?xml version="1.0" encoding="utf-8"?>
<ds:datastoreItem xmlns:ds="http://schemas.openxmlformats.org/officeDocument/2006/customXml" ds:itemID="{30058BD2-0BC4-4D93-B134-44B80E64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3354</Words>
  <Characters>19795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11</cp:revision>
  <cp:lastPrinted>2018-05-10T08:21:00Z</cp:lastPrinted>
  <dcterms:created xsi:type="dcterms:W3CDTF">2020-08-24T06:29:00Z</dcterms:created>
  <dcterms:modified xsi:type="dcterms:W3CDTF">2020-09-08T17:27:00Z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