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5A2DEA" w:rsidRDefault="007353BE" w:rsidP="005A2DEA">
      <w:pPr>
        <w:pStyle w:val="Nadpis8"/>
      </w:pPr>
      <w:r>
        <w:t>Dodávka 3 ks transportních lůžek s vyšší nosností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5A2DEA" w:rsidRDefault="005A2DEA" w:rsidP="005A2DE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F17303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Transportní lůžko s vyšší nosností (Svitavy – 2 ks </w:t>
            </w:r>
            <w:proofErr w:type="spellStart"/>
            <w:r>
              <w:rPr>
                <w:rFonts w:asciiTheme="minorHAnsi" w:hAnsiTheme="minorHAnsi" w:cs="Arial"/>
                <w:b/>
                <w:sz w:val="28"/>
                <w:szCs w:val="28"/>
              </w:rPr>
              <w:t>Chrirugie</w:t>
            </w:r>
            <w:proofErr w:type="spellEnd"/>
            <w:r>
              <w:rPr>
                <w:rFonts w:asciiTheme="minorHAnsi" w:hAnsiTheme="minorHAnsi" w:cs="Arial"/>
                <w:b/>
                <w:sz w:val="28"/>
                <w:szCs w:val="28"/>
              </w:rPr>
              <w:t>, 1 ks ORL)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353BE" w:rsidRPr="00C10A7D" w:rsidTr="005A556E">
        <w:tc>
          <w:tcPr>
            <w:tcW w:w="4536" w:type="dxa"/>
          </w:tcPr>
          <w:p w:rsidR="007353BE" w:rsidRPr="00FB6452" w:rsidRDefault="007353BE" w:rsidP="007353BE">
            <w:r>
              <w:t xml:space="preserve">Min. </w:t>
            </w:r>
            <w:r w:rsidRPr="00FB6452">
              <w:t>2 dílná ložná plocha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C10A7D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 xml:space="preserve">Vnější rozměry max. </w:t>
            </w:r>
            <w:r w:rsidR="003541B6">
              <w:t>216 x 79 cm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C10A7D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Rozměry matrace min. 190 x 6</w:t>
            </w:r>
            <w:r w:rsidR="003541B6">
              <w:t>0</w:t>
            </w:r>
            <w:r w:rsidRPr="00FB6452">
              <w:t xml:space="preserve"> cm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C10A7D" w:rsidTr="005A556E">
        <w:tc>
          <w:tcPr>
            <w:tcW w:w="4536" w:type="dxa"/>
          </w:tcPr>
          <w:p w:rsidR="007353BE" w:rsidRPr="00FB6452" w:rsidRDefault="007353BE" w:rsidP="007353BE">
            <w:r>
              <w:t>Hydraulické n</w:t>
            </w:r>
            <w:r w:rsidRPr="00FB6452">
              <w:t>astavení výšky ložné plochy min. v rozsahu 5</w:t>
            </w:r>
            <w:r w:rsidR="003541B6">
              <w:t>7</w:t>
            </w:r>
            <w:r w:rsidRPr="00FB6452">
              <w:t xml:space="preserve"> - 87 cm 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C10A7D" w:rsidTr="005A556E">
        <w:trPr>
          <w:trHeight w:val="677"/>
        </w:trPr>
        <w:tc>
          <w:tcPr>
            <w:tcW w:w="4536" w:type="dxa"/>
          </w:tcPr>
          <w:p w:rsidR="007353BE" w:rsidRPr="00FB6452" w:rsidRDefault="007353BE" w:rsidP="007353BE">
            <w:r w:rsidRPr="00FB6452">
              <w:t>Náklon ložné plochy TR/ATR min. 1</w:t>
            </w:r>
            <w:r w:rsidR="00D336B9">
              <w:t>2</w:t>
            </w:r>
            <w:r w:rsidRPr="00FB6452">
              <w:t>°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C10A7D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 xml:space="preserve">Polohování zádového dílu </w:t>
            </w:r>
            <w:r w:rsidR="00D336B9">
              <w:t xml:space="preserve">v rozsahu min. </w:t>
            </w:r>
            <w:r w:rsidRPr="00FB6452">
              <w:t xml:space="preserve">0 – </w:t>
            </w:r>
            <w:r w:rsidR="00D336B9">
              <w:t>87</w:t>
            </w:r>
            <w:r w:rsidRPr="00FB6452">
              <w:t>° pomocí plynové pružiny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 xml:space="preserve">Bezpečné pracovní zatížení min. </w:t>
            </w:r>
            <w:r w:rsidR="003541B6">
              <w:t>250</w:t>
            </w:r>
            <w:r w:rsidRPr="00FB6452">
              <w:t xml:space="preserve"> kg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Kryt podvozku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4 kolečka o průměru min. 200 mm (vhodná pro převoz po areálu i za nepříznivého počasí)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7A1BD5">
              <w:lastRenderedPageBreak/>
              <w:t xml:space="preserve">Řídící 5. kolečko 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Kolečka centrálně brzděná s ovládáním ze dvou stran (hlava, nohy)</w:t>
            </w:r>
          </w:p>
        </w:tc>
        <w:tc>
          <w:tcPr>
            <w:tcW w:w="1276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2476E6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Nožní ovladač pro nastavení výšky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3541B6" w:rsidP="007353BE">
            <w:r>
              <w:t>RTG propustná ložná plocha</w:t>
            </w:r>
            <w:r w:rsidR="007353BE" w:rsidRPr="00FB6452">
              <w:t xml:space="preserve"> 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pPr>
              <w:rPr>
                <w:highlight w:val="yellow"/>
              </w:rPr>
            </w:pPr>
            <w:r>
              <w:t xml:space="preserve">Včetně </w:t>
            </w:r>
            <w:r w:rsidRPr="00FB6452">
              <w:t xml:space="preserve">matrace se zkosenými rohy o výšce min. </w:t>
            </w:r>
            <w:r w:rsidR="00D336B9">
              <w:t>6,5</w:t>
            </w:r>
            <w:r w:rsidRPr="00FB6452">
              <w:t xml:space="preserve"> cm a nosností min. 200 kg</w:t>
            </w:r>
            <w:r w:rsidRPr="00FB6452">
              <w:rPr>
                <w:highlight w:val="yellow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3541B6" w:rsidP="007353BE">
            <w:r>
              <w:t>Dezinfikovatelný, v</w:t>
            </w:r>
            <w:r w:rsidR="007353BE" w:rsidRPr="00FB6452">
              <w:t xml:space="preserve">oděodolný a </w:t>
            </w:r>
            <w:proofErr w:type="spellStart"/>
            <w:r w:rsidR="007353BE" w:rsidRPr="00FB6452">
              <w:t>paropropustný</w:t>
            </w:r>
            <w:proofErr w:type="spellEnd"/>
            <w:r w:rsidR="007353BE" w:rsidRPr="00FB6452">
              <w:t xml:space="preserve"> </w:t>
            </w:r>
            <w:r>
              <w:t>potah matrace</w:t>
            </w:r>
            <w:r w:rsidR="00E26829">
              <w:t xml:space="preserve"> se zipem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 xml:space="preserve">Zámek postranic 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 xml:space="preserve">Sklopné </w:t>
            </w:r>
            <w:r w:rsidRPr="00017F15">
              <w:t>postranice s výškou min. 3</w:t>
            </w:r>
            <w:r w:rsidR="00D30D37" w:rsidRPr="00017F15">
              <w:t>0</w:t>
            </w:r>
            <w:r w:rsidRPr="00017F15">
              <w:t xml:space="preserve"> cm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 w:rsidRPr="00FB6452">
              <w:t>CPR odblokování zádového dílu (mechanicky)</w:t>
            </w:r>
          </w:p>
        </w:tc>
        <w:tc>
          <w:tcPr>
            <w:tcW w:w="1276" w:type="dxa"/>
            <w:vAlign w:val="center"/>
          </w:tcPr>
          <w:p w:rsidR="007353BE" w:rsidRDefault="007353BE" w:rsidP="007353BE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Default="007353BE" w:rsidP="007353BE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>
              <w:t>Sklopná tlačná madla u hlavy</w:t>
            </w:r>
            <w:r w:rsidRPr="00FB6452">
              <w:rPr>
                <w:highlight w:val="yellow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353BE" w:rsidRPr="00E023BD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0F2B33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53BE" w:rsidRPr="002476E6" w:rsidTr="005A556E">
        <w:tc>
          <w:tcPr>
            <w:tcW w:w="4536" w:type="dxa"/>
          </w:tcPr>
          <w:p w:rsidR="007353BE" w:rsidRPr="00FB6452" w:rsidRDefault="007353BE" w:rsidP="007353BE">
            <w:r>
              <w:t>Odnímatelný infuzní stojan</w:t>
            </w:r>
          </w:p>
        </w:tc>
        <w:tc>
          <w:tcPr>
            <w:tcW w:w="1276" w:type="dxa"/>
            <w:vAlign w:val="center"/>
          </w:tcPr>
          <w:p w:rsidR="007353BE" w:rsidRPr="00E023BD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53BE" w:rsidRPr="000F2B33" w:rsidRDefault="007353BE" w:rsidP="007353B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Pr="002476E6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</w:t>
            </w:r>
            <w:r w:rsidR="0097571A">
              <w:rPr>
                <w:rFonts w:ascii="Calibri" w:hAnsi="Calibri" w:cs="Calibri"/>
                <w:sz w:val="22"/>
                <w:szCs w:val="22"/>
              </w:rPr>
              <w:t xml:space="preserve"> laboratorního přístroje</w:t>
            </w:r>
            <w:r w:rsidRPr="0024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C97" w:rsidRDefault="00716C97">
      <w:r>
        <w:separator/>
      </w:r>
    </w:p>
  </w:endnote>
  <w:endnote w:type="continuationSeparator" w:id="0">
    <w:p w:rsidR="00716C97" w:rsidRDefault="0071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bookmarkEnd w:id="1" w:displacedByCustomXml="prev"/>
      <w:p w:rsidR="007353BE" w:rsidRDefault="007353BE" w:rsidP="007353BE">
        <w:pPr>
          <w:pStyle w:val="Zpat"/>
          <w:tabs>
            <w:tab w:val="clear" w:pos="4536"/>
            <w:tab w:val="clear" w:pos="9072"/>
            <w:tab w:val="left" w:pos="7455"/>
          </w:tabs>
        </w:pPr>
      </w:p>
      <w:p w:rsidR="00CA2983" w:rsidRDefault="00CA2983" w:rsidP="00CA2983">
        <w:pPr>
          <w:pStyle w:val="Zpat"/>
        </w:pP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FB3E99">
          <w:rPr>
            <w:rFonts w:ascii="Calibri" w:hAnsi="Calibri" w:cs="Calibri"/>
            <w:noProof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C97" w:rsidRDefault="00716C97">
      <w:r>
        <w:separator/>
      </w:r>
    </w:p>
  </w:footnote>
  <w:footnote w:type="continuationSeparator" w:id="0">
    <w:p w:rsidR="00716C97" w:rsidRDefault="00716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F15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541B6"/>
    <w:rsid w:val="00374075"/>
    <w:rsid w:val="003846F9"/>
    <w:rsid w:val="00384C2C"/>
    <w:rsid w:val="003872B0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31E31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539C8"/>
    <w:rsid w:val="00560743"/>
    <w:rsid w:val="0056576E"/>
    <w:rsid w:val="00567235"/>
    <w:rsid w:val="00572533"/>
    <w:rsid w:val="005A2DEA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12A7"/>
    <w:rsid w:val="006F6461"/>
    <w:rsid w:val="00703424"/>
    <w:rsid w:val="0071402B"/>
    <w:rsid w:val="0071532A"/>
    <w:rsid w:val="00716461"/>
    <w:rsid w:val="00716C97"/>
    <w:rsid w:val="007230A6"/>
    <w:rsid w:val="0073070F"/>
    <w:rsid w:val="007341AA"/>
    <w:rsid w:val="007353BE"/>
    <w:rsid w:val="00756D6D"/>
    <w:rsid w:val="00767CC9"/>
    <w:rsid w:val="00783B7D"/>
    <w:rsid w:val="00786A7B"/>
    <w:rsid w:val="007A1BD5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90047"/>
    <w:rsid w:val="008B1CD4"/>
    <w:rsid w:val="008E1D92"/>
    <w:rsid w:val="00907E39"/>
    <w:rsid w:val="00965992"/>
    <w:rsid w:val="009673F6"/>
    <w:rsid w:val="0097571A"/>
    <w:rsid w:val="00985725"/>
    <w:rsid w:val="0098671F"/>
    <w:rsid w:val="0099223B"/>
    <w:rsid w:val="009B4E45"/>
    <w:rsid w:val="009C0B4C"/>
    <w:rsid w:val="009E189C"/>
    <w:rsid w:val="00A075F1"/>
    <w:rsid w:val="00A12E4D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6E47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BE274B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0D37"/>
    <w:rsid w:val="00D33243"/>
    <w:rsid w:val="00D336B9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14A45"/>
    <w:rsid w:val="00E25961"/>
    <w:rsid w:val="00E25E2C"/>
    <w:rsid w:val="00E26829"/>
    <w:rsid w:val="00E3244D"/>
    <w:rsid w:val="00E327B4"/>
    <w:rsid w:val="00E640CE"/>
    <w:rsid w:val="00E70BD0"/>
    <w:rsid w:val="00E73FAD"/>
    <w:rsid w:val="00EB28FB"/>
    <w:rsid w:val="00EB3567"/>
    <w:rsid w:val="00EC44E3"/>
    <w:rsid w:val="00EC6204"/>
    <w:rsid w:val="00ED1886"/>
    <w:rsid w:val="00EE1E0E"/>
    <w:rsid w:val="00F011A6"/>
    <w:rsid w:val="00F03861"/>
    <w:rsid w:val="00F069C9"/>
    <w:rsid w:val="00F14182"/>
    <w:rsid w:val="00F16700"/>
    <w:rsid w:val="00F17303"/>
    <w:rsid w:val="00F42F2C"/>
    <w:rsid w:val="00F45432"/>
    <w:rsid w:val="00F458FA"/>
    <w:rsid w:val="00F63C45"/>
    <w:rsid w:val="00F66DDD"/>
    <w:rsid w:val="00F935F7"/>
    <w:rsid w:val="00FB0179"/>
    <w:rsid w:val="00FB3E9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34220-C643-4A68-9EE3-123C3513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513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12</cp:revision>
  <dcterms:created xsi:type="dcterms:W3CDTF">2020-08-21T10:09:00Z</dcterms:created>
  <dcterms:modified xsi:type="dcterms:W3CDTF">2020-08-31T07:19:00Z</dcterms:modified>
</cp:coreProperties>
</file>