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3D5C4A" w:rsidRPr="003D5C4A">
        <w:rPr>
          <w:rFonts w:ascii="Calibri" w:eastAsia="Calibri" w:hAnsi="Calibri" w:cs="Arial"/>
          <w:b/>
          <w:sz w:val="28"/>
          <w:szCs w:val="28"/>
          <w:lang w:eastAsia="en-US"/>
        </w:rPr>
        <w:t>pro část 1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3D5C4A" w:rsidRDefault="001806C7" w:rsidP="003D5C4A">
      <w:pPr>
        <w:pStyle w:val="Nadpis8"/>
      </w:pPr>
      <w:r w:rsidRPr="003D5C4A">
        <w:t xml:space="preserve">Telemetrické a </w:t>
      </w:r>
      <w:proofErr w:type="spellStart"/>
      <w:r w:rsidRPr="003D5C4A">
        <w:t>holterovské</w:t>
      </w:r>
      <w:proofErr w:type="spellEnd"/>
      <w:r w:rsidRPr="003D5C4A">
        <w:t xml:space="preserve"> monitorování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3D5C4A" w:rsidRDefault="003D5C4A" w:rsidP="003D5C4A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>
        <w:rPr>
          <w:rFonts w:ascii="Calibri" w:hAnsi="Calibri" w:cs="Arial"/>
          <w:b/>
          <w:sz w:val="24"/>
        </w:rPr>
        <w:t xml:space="preserve">Název části 1 veřejné zakázky:      </w:t>
      </w:r>
    </w:p>
    <w:p w:rsidR="003D5C4A" w:rsidRPr="003D5C4A" w:rsidRDefault="003D5C4A" w:rsidP="003D5C4A">
      <w:pPr>
        <w:pStyle w:val="Nadpis5"/>
        <w:shd w:val="clear" w:color="auto" w:fill="FFD966" w:themeFill="accent4" w:themeFillTint="99"/>
        <w:autoSpaceDE w:val="0"/>
        <w:autoSpaceDN w:val="0"/>
        <w:adjustRightInd w:val="0"/>
        <w:spacing w:line="276" w:lineRule="auto"/>
        <w:rPr>
          <w:rFonts w:eastAsia="Calibri" w:cs="Arial"/>
          <w:bCs/>
          <w:color w:val="000000"/>
          <w:lang w:eastAsia="en-US"/>
        </w:rPr>
      </w:pPr>
      <w:r w:rsidRPr="003D5C4A">
        <w:rPr>
          <w:rFonts w:cs="Arial"/>
        </w:rPr>
        <w:t>Telemetrické záznamníky pro Interní oddělení Orlickoústecké nemocnice</w:t>
      </w:r>
    </w:p>
    <w:p w:rsidR="003D5C4A" w:rsidRDefault="003D5C4A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3D5C4A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:rsidTr="00FA457A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:rsidR="00E54A3E" w:rsidRPr="00393D63" w:rsidRDefault="001806C7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Telemetrické záznamníky pro Interní oddělení Orlickoústecké nemocnice </w:t>
            </w:r>
          </w:p>
        </w:tc>
      </w:tr>
      <w:tr w:rsidR="00E54A3E" w:rsidRPr="00654188" w:rsidTr="00FA457A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hlav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670C">
              <w:rPr>
                <w:rFonts w:asciiTheme="minorHAnsi" w:hAnsiTheme="minorHAnsi"/>
                <w:sz w:val="22"/>
                <w:szCs w:val="22"/>
              </w:rPr>
              <w:t xml:space="preserve">6 pacientských jednotek pro telemetricky sledované pacienty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hlav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0670C">
              <w:rPr>
                <w:rFonts w:asciiTheme="minorHAnsi" w:hAnsiTheme="minorHAnsi"/>
                <w:sz w:val="22"/>
                <w:szCs w:val="22"/>
              </w:rPr>
              <w:t xml:space="preserve">Jednotky musí být kompatibilní se stávajícím telemetrickým systémem Philips a musí umnožit připojení k stávající centrální jednotce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num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Monitorované vitální funkce: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2"/>
                <w:numId w:val="24"/>
              </w:numPr>
              <w:shd w:val="clear" w:color="auto" w:fill="auto"/>
              <w:tabs>
                <w:tab w:val="clear" w:pos="2880"/>
                <w:tab w:val="num" w:pos="1134"/>
              </w:tabs>
              <w:autoSpaceDE/>
              <w:autoSpaceDN/>
              <w:adjustRightInd/>
              <w:ind w:left="1134"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3x Jednotka s monitorací EKG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2"/>
                <w:numId w:val="24"/>
              </w:numPr>
              <w:shd w:val="clear" w:color="auto" w:fill="auto"/>
              <w:tabs>
                <w:tab w:val="clear" w:pos="2880"/>
                <w:tab w:val="num" w:pos="1134"/>
              </w:tabs>
              <w:autoSpaceDE/>
              <w:autoSpaceDN/>
              <w:adjustRightInd/>
              <w:ind w:left="1134"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3x Jednotka s monitorací EKG a SpO2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Vlastní displej sloužící pro monitoraci jak pomocí telemetrického systému, tak samostatně (transport v rámci nemocnice)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SW v ČJ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lastRenderedPageBreak/>
              <w:t xml:space="preserve">Barevný dotykový displej 2,5“-3,0“ s automatickým úsporným režimem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Práce na akumulátory (záložně možnost AA baterie)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V dodávce 12 akumulátorů (ne dobíjecí AA baterie) a dobíjecí stanice pro minimálně 9 pacientských jednotek 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Doba provozu na akumulátor min. 24 hodin (při monitorovaní EKG s přenosem na centrálu)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Zobrazení stavu baterie na modulu i na centrální stanici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Zobrazení alespoň dvou křivek v reálném čase a dalších numerických hodnot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Snadné a rychlé zapnutí displeje pro zobrazení pacientských hodnot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Možnost konfigurace obrazovky  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Možnost změny orientace obrazovky pro snadné klinické hodnocení.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Vodotěsný (až IPX7) a schopny odolávat náhodnému ponoření do vody, sprchování a čištění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Automatické spojení s telemetrickým systémem po přiblížení do jeho dosahu (například po vnitro-nemocničním přesunu či transportu)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  <w:tr w:rsidR="00FA457A" w:rsidRPr="00270C10" w:rsidTr="00FA457A">
        <w:tc>
          <w:tcPr>
            <w:tcW w:w="3969" w:type="dxa"/>
          </w:tcPr>
          <w:p w:rsidR="00FA457A" w:rsidRPr="0040670C" w:rsidRDefault="00FA457A" w:rsidP="00FA457A">
            <w:pPr>
              <w:pStyle w:val="Zkladntext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val="left" w:pos="567"/>
              </w:tabs>
              <w:autoSpaceDE/>
              <w:autoSpaceDN/>
              <w:adjustRightInd/>
              <w:jc w:val="both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Spotřební materiál: EKG kabel </w:t>
            </w:r>
            <w:r w:rsidR="008C06FA" w:rsidRPr="006E6CA6">
              <w:rPr>
                <w:rFonts w:asciiTheme="minorHAnsi" w:hAnsiTheme="minorHAnsi" w:cs="Times New Roman"/>
                <w:b w:val="0"/>
                <w:sz w:val="22"/>
                <w:szCs w:val="22"/>
                <w:highlight w:val="yellow"/>
              </w:rPr>
              <w:t>5</w:t>
            </w:r>
            <w:r w:rsidRPr="006E6CA6">
              <w:rPr>
                <w:rFonts w:asciiTheme="minorHAnsi" w:hAnsiTheme="minorHAnsi" w:cs="Times New Roman"/>
                <w:b w:val="0"/>
                <w:sz w:val="22"/>
                <w:szCs w:val="22"/>
                <w:highlight w:val="yellow"/>
              </w:rPr>
              <w:t>sv.</w:t>
            </w: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 patentka</w:t>
            </w:r>
            <w:r w:rsidR="008C06FA">
              <w:rPr>
                <w:rFonts w:asciiTheme="minorHAnsi" w:hAnsiTheme="minorHAnsi" w:cs="Times New Roman"/>
                <w:b w:val="0"/>
                <w:sz w:val="22"/>
                <w:szCs w:val="22"/>
              </w:rPr>
              <w:t xml:space="preserve"> </w:t>
            </w:r>
            <w:r w:rsidR="008C06FA" w:rsidRPr="00567807">
              <w:rPr>
                <w:rFonts w:asciiTheme="minorHAnsi" w:hAnsiTheme="minorHAnsi" w:cs="Times New Roman"/>
                <w:b w:val="0"/>
                <w:sz w:val="22"/>
                <w:szCs w:val="22"/>
                <w:highlight w:val="yellow"/>
              </w:rPr>
              <w:t>pro nové i stávajících 6 ks jednotek</w:t>
            </w:r>
            <w:r w:rsidRPr="0040670C">
              <w:rPr>
                <w:rFonts w:asciiTheme="minorHAnsi" w:hAnsiTheme="minorHAnsi" w:cs="Times New Roman"/>
                <w:b w:val="0"/>
                <w:sz w:val="22"/>
                <w:szCs w:val="22"/>
              </w:rPr>
              <w:t>, SpO2 čidlo, vodotěsné pouzdro pro přenášení 300 ks</w:t>
            </w:r>
          </w:p>
        </w:tc>
        <w:tc>
          <w:tcPr>
            <w:tcW w:w="1701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  <w:tc>
          <w:tcPr>
            <w:tcW w:w="3969" w:type="dxa"/>
            <w:vAlign w:val="center"/>
          </w:tcPr>
          <w:p w:rsidR="00FA457A" w:rsidRPr="00270C10" w:rsidRDefault="00FA457A" w:rsidP="003D5C4A">
            <w:pPr>
              <w:jc w:val="center"/>
              <w:rPr>
                <w:rFonts w:ascii="Times New Roman" w:hAnsi="Times New Roman"/>
                <w:sz w:val="24"/>
              </w:rPr>
            </w:pPr>
            <w:r w:rsidRPr="00270C10">
              <w:rPr>
                <w:rFonts w:ascii="Times New Roman" w:hAnsi="Times New Roman"/>
                <w:color w:val="FF0000"/>
                <w:sz w:val="24"/>
              </w:rPr>
              <w:t>(doplní dodavatel)</w:t>
            </w:r>
          </w:p>
        </w:tc>
      </w:tr>
    </w:tbl>
    <w:p w:rsidR="00BD382F" w:rsidRDefault="00BD382F" w:rsidP="00225624">
      <w:pPr>
        <w:rPr>
          <w:lang w:eastAsia="en-US"/>
        </w:rPr>
      </w:pPr>
    </w:p>
    <w:p w:rsidR="00225624" w:rsidRDefault="00225624" w:rsidP="00225624">
      <w:pPr>
        <w:rPr>
          <w:lang w:eastAsia="en-US"/>
        </w:rPr>
      </w:pPr>
    </w:p>
    <w:p w:rsidR="003D5C4A" w:rsidRPr="00F070AD" w:rsidRDefault="003D5C4A" w:rsidP="00F070AD">
      <w:pPr>
        <w:pStyle w:val="Zkladntext2"/>
        <w:tabs>
          <w:tab w:val="clear" w:pos="284"/>
        </w:tabs>
        <w:rPr>
          <w:rFonts w:ascii="Arial" w:hAnsi="Arial"/>
          <w:szCs w:val="24"/>
        </w:rPr>
      </w:pPr>
      <w:r w:rsidRPr="00F070AD">
        <w:rPr>
          <w:rFonts w:ascii="Arial" w:hAnsi="Arial"/>
          <w:szCs w:val="24"/>
        </w:rP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</w:t>
      </w:r>
      <w:r w:rsidRPr="00F070AD">
        <w:rPr>
          <w:rFonts w:ascii="Arial" w:hAnsi="Arial"/>
          <w:szCs w:val="24"/>
        </w:rPr>
        <w:lastRenderedPageBreak/>
        <w:t xml:space="preserve">ŽE V PŘÍPADĚ, ŽE SE V DOKUMENTACI OBJEVUJÍ ODKAZY NA NORMY NEBO TECHNICKÉ DOKUMENTY UMOŽŇUJE ZADAVATEL MOŽNOST NABÍDNOUT ROVNOCENNÉ ŘEŠENÍ DLE § 90 OST. 3 ZÁKONA. </w:t>
      </w:r>
    </w:p>
    <w:p w:rsidR="003D5C4A" w:rsidRDefault="003D5C4A" w:rsidP="003D5C4A">
      <w:pPr>
        <w:ind w:left="426"/>
        <w:jc w:val="both"/>
      </w:pPr>
    </w:p>
    <w:p w:rsidR="003D5C4A" w:rsidRDefault="003D5C4A" w:rsidP="003D5C4A">
      <w:pPr>
        <w:jc w:val="both"/>
        <w:rPr>
          <w:rFonts w:ascii="Times New Roman" w:hAnsi="Times New Roman"/>
          <w:sz w:val="24"/>
        </w:rPr>
      </w:pPr>
      <w:r>
        <w:t>TOLERANCE NA ČÍSELNÉ PARAMETRY, KTERÉ NEJSOU OZNAČENY JAKO MINIMÁLNÍ ČI MAXIMÁLNÍ +/- 10%</w:t>
      </w:r>
      <w:r>
        <w:rPr>
          <w:rFonts w:ascii="Times New Roman" w:hAnsi="Times New Roman"/>
          <w:sz w:val="24"/>
        </w:rPr>
        <w:t xml:space="preserve"> </w:t>
      </w:r>
    </w:p>
    <w:p w:rsidR="003D5C4A" w:rsidRDefault="003D5C4A" w:rsidP="00225624">
      <w:pPr>
        <w:rPr>
          <w:lang w:eastAsia="en-US"/>
        </w:rPr>
      </w:pPr>
    </w:p>
    <w:p w:rsidR="003D5C4A" w:rsidRDefault="003D5C4A" w:rsidP="00225624">
      <w:pPr>
        <w:rPr>
          <w:lang w:eastAsia="en-US"/>
        </w:rPr>
      </w:pPr>
    </w:p>
    <w:p w:rsidR="003D5C4A" w:rsidRDefault="003D5C4A" w:rsidP="003D5C4A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B) Požadavky, které budou součástí dodávky předmětu plnění </w:t>
      </w:r>
    </w:p>
    <w:p w:rsidR="003D5C4A" w:rsidRDefault="003D5C4A" w:rsidP="003D5C4A">
      <w:pPr>
        <w:rPr>
          <w:lang w:eastAsia="en-US"/>
        </w:rPr>
      </w:pPr>
    </w:p>
    <w:p w:rsidR="003D5C4A" w:rsidRDefault="003D5C4A" w:rsidP="003D5C4A">
      <w:pPr>
        <w:rPr>
          <w:lang w:eastAsia="en-US"/>
        </w:rPr>
      </w:pPr>
      <w:r>
        <w:rPr>
          <w:lang w:eastAsia="en-US"/>
        </w:rPr>
        <w:t>DODAVATEL MÁ POVINNOST VYPLNIT SPLNĚNÍ POŽADAVKU V TABULCE ANO/NE. SPNĚNÍ UVEDENÝCH POŽADAVKŮ POŽADUJE ZADAVATEL V RÁMCI DODÁVKY PŘEDMĚTU PLNĚNÍ.</w:t>
      </w:r>
    </w:p>
    <w:p w:rsidR="003D5C4A" w:rsidRDefault="003D5C4A" w:rsidP="00225624">
      <w:pPr>
        <w:rPr>
          <w:lang w:eastAsia="en-US"/>
        </w:rPr>
      </w:pPr>
    </w:p>
    <w:p w:rsidR="003D5C4A" w:rsidRPr="00225624" w:rsidRDefault="003D5C4A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:rsidTr="00096625">
        <w:trPr>
          <w:jc w:val="center"/>
        </w:trPr>
        <w:tc>
          <w:tcPr>
            <w:tcW w:w="6823" w:type="dxa"/>
            <w:vAlign w:val="center"/>
          </w:tcPr>
          <w:p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4C4F" w:rsidRDefault="00544C4F">
      <w:r>
        <w:separator/>
      </w:r>
    </w:p>
  </w:endnote>
  <w:endnote w:type="continuationSeparator" w:id="0">
    <w:p w:rsidR="00544C4F" w:rsidRDefault="0054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7807" w:rsidRDefault="005678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3D5C4A" w:rsidRPr="00CA2983" w:rsidRDefault="003D5C4A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 xml:space="preserve">Modernizace </w:t>
        </w:r>
        <w:r>
          <w:rPr>
            <w:rFonts w:ascii="Calibri" w:hAnsi="Calibri" w:cs="Calibri"/>
            <w:szCs w:val="20"/>
          </w:rPr>
          <w:t xml:space="preserve">různých </w:t>
        </w:r>
        <w:r w:rsidRPr="0019452C">
          <w:rPr>
            <w:rFonts w:ascii="Calibri" w:hAnsi="Calibri" w:cs="Calibri"/>
            <w:szCs w:val="20"/>
          </w:rPr>
          <w:t>přístrojů a vybavení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3D5C4A" w:rsidRPr="00CA2983" w:rsidRDefault="003D5C4A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51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:rsidR="003D5C4A" w:rsidRDefault="003D5C4A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3D5C4A" w:rsidRPr="00855DB3" w:rsidRDefault="003D5C4A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7807" w:rsidRDefault="005678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4C4F" w:rsidRDefault="00544C4F">
      <w:r>
        <w:separator/>
      </w:r>
    </w:p>
  </w:footnote>
  <w:footnote w:type="continuationSeparator" w:id="0">
    <w:p w:rsidR="00544C4F" w:rsidRDefault="00544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7807" w:rsidRDefault="005678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D5C4A" w:rsidRDefault="003D5C4A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67807" w:rsidRDefault="005678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B30E2"/>
    <w:multiLevelType w:val="hybridMultilevel"/>
    <w:tmpl w:val="C3D8B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6030"/>
    <w:multiLevelType w:val="hybridMultilevel"/>
    <w:tmpl w:val="DC80B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65183"/>
    <w:multiLevelType w:val="hybridMultilevel"/>
    <w:tmpl w:val="15D4BFE0"/>
    <w:lvl w:ilvl="0" w:tplc="C494ED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5F8777A8"/>
    <w:multiLevelType w:val="hybridMultilevel"/>
    <w:tmpl w:val="8DF2EC3E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2"/>
  </w:num>
  <w:num w:numId="4">
    <w:abstractNumId w:val="9"/>
  </w:num>
  <w:num w:numId="5">
    <w:abstractNumId w:val="6"/>
  </w:num>
  <w:num w:numId="6">
    <w:abstractNumId w:val="10"/>
  </w:num>
  <w:num w:numId="7">
    <w:abstractNumId w:val="10"/>
  </w:num>
  <w:num w:numId="8">
    <w:abstractNumId w:val="21"/>
  </w:num>
  <w:num w:numId="9">
    <w:abstractNumId w:val="2"/>
  </w:num>
  <w:num w:numId="10">
    <w:abstractNumId w:val="15"/>
  </w:num>
  <w:num w:numId="11">
    <w:abstractNumId w:val="14"/>
  </w:num>
  <w:num w:numId="12">
    <w:abstractNumId w:val="20"/>
  </w:num>
  <w:num w:numId="13">
    <w:abstractNumId w:val="7"/>
  </w:num>
  <w:num w:numId="14">
    <w:abstractNumId w:val="16"/>
  </w:num>
  <w:num w:numId="15">
    <w:abstractNumId w:val="18"/>
  </w:num>
  <w:num w:numId="16">
    <w:abstractNumId w:val="11"/>
  </w:num>
  <w:num w:numId="17">
    <w:abstractNumId w:val="12"/>
  </w:num>
  <w:num w:numId="18">
    <w:abstractNumId w:val="8"/>
  </w:num>
  <w:num w:numId="19">
    <w:abstractNumId w:val="4"/>
  </w:num>
  <w:num w:numId="20">
    <w:abstractNumId w:val="19"/>
  </w:num>
  <w:num w:numId="21">
    <w:abstractNumId w:val="3"/>
  </w:num>
  <w:num w:numId="22">
    <w:abstractNumId w:val="0"/>
  </w:num>
  <w:num w:numId="23">
    <w:abstractNumId w:val="5"/>
  </w:num>
  <w:num w:numId="24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C62"/>
    <w:rsid w:val="00094F6C"/>
    <w:rsid w:val="00096625"/>
    <w:rsid w:val="000A1ECC"/>
    <w:rsid w:val="000A3B26"/>
    <w:rsid w:val="000B179B"/>
    <w:rsid w:val="000B3193"/>
    <w:rsid w:val="000B551A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806C7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C4A"/>
    <w:rsid w:val="003D5FC2"/>
    <w:rsid w:val="003E2F8A"/>
    <w:rsid w:val="003E5E6D"/>
    <w:rsid w:val="004001AC"/>
    <w:rsid w:val="004006C4"/>
    <w:rsid w:val="0040670C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38A7"/>
    <w:rsid w:val="00487465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4C4F"/>
    <w:rsid w:val="0054515C"/>
    <w:rsid w:val="0056576E"/>
    <w:rsid w:val="00567235"/>
    <w:rsid w:val="00567807"/>
    <w:rsid w:val="00572533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85296"/>
    <w:rsid w:val="006E6CA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1B29"/>
    <w:rsid w:val="00867642"/>
    <w:rsid w:val="00885D17"/>
    <w:rsid w:val="00890047"/>
    <w:rsid w:val="008B1CD4"/>
    <w:rsid w:val="008C06FA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2159"/>
    <w:rsid w:val="00BD382F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60CC"/>
    <w:rsid w:val="00D07B2A"/>
    <w:rsid w:val="00D14FCA"/>
    <w:rsid w:val="00D241F8"/>
    <w:rsid w:val="00D24CB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015C"/>
    <w:rsid w:val="00D963DD"/>
    <w:rsid w:val="00DA57E0"/>
    <w:rsid w:val="00DF2478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D1886"/>
    <w:rsid w:val="00EE1E0E"/>
    <w:rsid w:val="00EE379E"/>
    <w:rsid w:val="00EE681C"/>
    <w:rsid w:val="00F011A6"/>
    <w:rsid w:val="00F03861"/>
    <w:rsid w:val="00F069C9"/>
    <w:rsid w:val="00F070AD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A0309"/>
    <w:rsid w:val="00FA457A"/>
    <w:rsid w:val="00FB0179"/>
    <w:rsid w:val="00FB4728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D5C4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3D5C4A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EDF19-462F-47B7-B234-DE7EC3CF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645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74</cp:revision>
  <dcterms:created xsi:type="dcterms:W3CDTF">2019-04-09T06:42:00Z</dcterms:created>
  <dcterms:modified xsi:type="dcterms:W3CDTF">2020-08-12T06:14:00Z</dcterms:modified>
</cp:coreProperties>
</file>