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5479F4">
        <w:rPr>
          <w:rFonts w:ascii="Calibri" w:hAnsi="Calibri" w:cs="Calibri"/>
          <w:sz w:val="22"/>
          <w:szCs w:val="22"/>
          <w:highlight w:val="lightGray"/>
        </w:rPr>
        <w:t>…………………………</w:t>
      </w:r>
      <w:r w:rsidR="003D12B4" w:rsidRPr="005479F4">
        <w:rPr>
          <w:rFonts w:ascii="Calibri" w:hAnsi="Calibri" w:cs="Calibri"/>
          <w:sz w:val="22"/>
          <w:szCs w:val="22"/>
          <w:highlight w:val="lightGray"/>
        </w:rPr>
        <w:t>..</w:t>
      </w:r>
      <w:r w:rsidR="00B071C9" w:rsidRPr="005479F4" w:rsidDel="00B071C9">
        <w:rPr>
          <w:rFonts w:ascii="Calibri" w:hAnsi="Calibri" w:cs="Calibri"/>
          <w:sz w:val="22"/>
          <w:szCs w:val="22"/>
          <w:highlight w:val="lightGray"/>
        </w:rPr>
        <w:t xml:space="preserve"> </w:t>
      </w:r>
      <w:r w:rsidR="00B071C9" w:rsidRPr="005479F4">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5479F4">
        <w:rPr>
          <w:rFonts w:ascii="Calibri" w:hAnsi="Calibri" w:cs="Calibri"/>
          <w:sz w:val="22"/>
          <w:szCs w:val="22"/>
          <w:highlight w:val="lightGray"/>
        </w:rPr>
        <w:t>……………………………………</w:t>
      </w:r>
      <w:r w:rsidR="00DC44E5" w:rsidRPr="005479F4">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5479F4">
        <w:rPr>
          <w:rFonts w:ascii="Calibri" w:hAnsi="Calibri" w:cs="Calibri"/>
          <w:sz w:val="22"/>
          <w:szCs w:val="22"/>
          <w:highlight w:val="lightGray"/>
        </w:rPr>
        <w:t>…………………………………..</w:t>
      </w:r>
      <w:r w:rsidR="00DC44E5" w:rsidRPr="005479F4">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EE826C3"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0D3A72" w:rsidRPr="000D3A72">
        <w:rPr>
          <w:rFonts w:asciiTheme="minorHAnsi" w:hAnsiTheme="minorHAnsi"/>
          <w:b/>
          <w:bCs/>
          <w:sz w:val="22"/>
          <w:szCs w:val="22"/>
        </w:rPr>
        <w:t xml:space="preserve">RTG Přístroje stacionární pro Litomyšlskou </w:t>
      </w:r>
      <w:proofErr w:type="gramStart"/>
      <w:r w:rsidR="000D3A72" w:rsidRPr="000D3A72">
        <w:rPr>
          <w:rFonts w:asciiTheme="minorHAnsi" w:hAnsiTheme="minorHAnsi"/>
          <w:b/>
          <w:bCs/>
          <w:sz w:val="22"/>
          <w:szCs w:val="22"/>
        </w:rPr>
        <w:t xml:space="preserve">nemocnici - </w:t>
      </w:r>
      <w:proofErr w:type="spellStart"/>
      <w:r w:rsidR="000D3A72" w:rsidRPr="000D3A72">
        <w:rPr>
          <w:rFonts w:asciiTheme="minorHAnsi" w:hAnsiTheme="minorHAnsi"/>
          <w:b/>
          <w:bCs/>
          <w:sz w:val="22"/>
          <w:szCs w:val="22"/>
        </w:rPr>
        <w:t>znovuvyhlášení</w:t>
      </w:r>
      <w:proofErr w:type="spellEnd"/>
      <w:proofErr w:type="gramEnd"/>
      <w:r w:rsidRPr="00964F90">
        <w:rPr>
          <w:rFonts w:asciiTheme="minorHAnsi" w:hAnsiTheme="minorHAnsi"/>
          <w:sz w:val="22"/>
          <w:szCs w:val="22"/>
        </w:rPr>
        <w:t xml:space="preserve">“ (dále jen „veřejná zakázka“) </w:t>
      </w:r>
      <w:r w:rsidRPr="00020322">
        <w:rPr>
          <w:rFonts w:asciiTheme="minorHAnsi" w:hAnsiTheme="minorHAnsi"/>
          <w:sz w:val="22"/>
          <w:szCs w:val="22"/>
        </w:rPr>
        <w:t>realizované</w:t>
      </w:r>
      <w:r w:rsidR="001B1779">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44C9E">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777777" w:rsidR="000912C4" w:rsidRPr="00F900CD" w:rsidRDefault="000912C4" w:rsidP="000912C4">
      <w:pPr>
        <w:widowControl w:val="0"/>
        <w:numPr>
          <w:ilvl w:val="0"/>
          <w:numId w:val="16"/>
        </w:numPr>
        <w:tabs>
          <w:tab w:val="left" w:pos="426"/>
        </w:tabs>
        <w:suppressAutoHyphens/>
        <w:spacing w:after="60"/>
        <w:ind w:left="72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31373927"/>
      <w:bookmarkStart w:id="1" w:name="_Hlk26518093"/>
      <w:r>
        <w:rPr>
          <w:rFonts w:ascii="Calibri" w:eastAsia="SimSun" w:hAnsi="Calibri" w:cs="Calibri"/>
          <w:i/>
          <w:iCs/>
          <w:kern w:val="1"/>
          <w:sz w:val="22"/>
          <w:szCs w:val="22"/>
          <w:lang w:eastAsia="hi-IN" w:bidi="hi-IN"/>
        </w:rPr>
        <w:t>Zobrazovací techniky RDG přístroje</w:t>
      </w:r>
      <w:bookmarkEnd w:id="0"/>
      <w:r w:rsidRPr="00F900CD">
        <w:rPr>
          <w:rFonts w:ascii="Calibri" w:eastAsia="SimSun" w:hAnsi="Calibri" w:cs="Calibri"/>
          <w:i/>
          <w:iCs/>
          <w:kern w:val="1"/>
          <w:sz w:val="22"/>
          <w:szCs w:val="22"/>
          <w:lang w:eastAsia="hi-IN" w:bidi="hi-IN"/>
        </w:rPr>
        <w:t>“ (reg. č.  CZ.06.2.56/0.0/0.0/16_043/000154</w:t>
      </w:r>
      <w:r w:rsidRPr="007C740C">
        <w:rPr>
          <w:rFonts w:ascii="Calibri" w:eastAsia="SimSun" w:hAnsi="Calibri" w:cs="Calibri"/>
          <w:i/>
          <w:iCs/>
          <w:kern w:val="1"/>
          <w:sz w:val="22"/>
          <w:szCs w:val="22"/>
          <w:lang w:eastAsia="hi-IN" w:bidi="hi-IN"/>
        </w:rPr>
        <w:t>2</w:t>
      </w:r>
      <w:r w:rsidRPr="00F900CD">
        <w:rPr>
          <w:rFonts w:ascii="Calibri" w:eastAsia="SimSun" w:hAnsi="Calibri" w:cs="Calibri"/>
          <w:i/>
          <w:iCs/>
          <w:kern w:val="1"/>
          <w:sz w:val="22"/>
          <w:szCs w:val="22"/>
          <w:lang w:eastAsia="hi-IN" w:bidi="hi-IN"/>
        </w:rPr>
        <w:t xml:space="preserve">) </w:t>
      </w:r>
      <w:bookmarkEnd w:id="1"/>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05E93D83" w14:textId="39B5CA2E" w:rsidR="006A36A9" w:rsidRPr="00944C9E" w:rsidRDefault="000912C4" w:rsidP="0094658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944C9E">
        <w:rPr>
          <w:rFonts w:ascii="Calibri" w:eastAsia="SimSun" w:hAnsi="Calibri" w:cs="Calibri"/>
          <w:kern w:val="1"/>
          <w:sz w:val="22"/>
          <w:szCs w:val="22"/>
          <w:lang w:eastAsia="hi-IN" w:bidi="hi-IN"/>
        </w:rPr>
        <w:t>Prodávající se zavazuje dodat kupujícímu</w:t>
      </w:r>
      <w:r w:rsidRPr="00944C9E">
        <w:rPr>
          <w:rFonts w:ascii="Calibri" w:eastAsia="SimSun" w:hAnsi="Calibri" w:cs="Calibri"/>
          <w:i/>
          <w:iCs/>
          <w:kern w:val="1"/>
          <w:sz w:val="22"/>
          <w:szCs w:val="22"/>
          <w:lang w:eastAsia="hi-IN" w:bidi="hi-IN"/>
        </w:rPr>
        <w:t xml:space="preserve">: </w:t>
      </w:r>
      <w:r w:rsidRPr="00944C9E">
        <w:rPr>
          <w:rFonts w:ascii="Calibri" w:eastAsia="SimSun" w:hAnsi="Calibri" w:cs="Calibri"/>
          <w:b/>
          <w:bCs/>
          <w:i/>
          <w:iCs/>
          <w:kern w:val="1"/>
          <w:sz w:val="22"/>
          <w:szCs w:val="22"/>
          <w:lang w:eastAsia="hi-IN" w:bidi="hi-IN"/>
        </w:rPr>
        <w:t>2 ks</w:t>
      </w:r>
      <w:r w:rsidRPr="00944C9E">
        <w:rPr>
          <w:rFonts w:ascii="Calibri" w:eastAsia="SimSun" w:hAnsi="Calibri" w:cs="Calibri"/>
          <w:i/>
          <w:iCs/>
          <w:kern w:val="1"/>
          <w:sz w:val="22"/>
          <w:szCs w:val="22"/>
          <w:lang w:eastAsia="hi-IN" w:bidi="hi-IN"/>
        </w:rPr>
        <w:t xml:space="preserve"> </w:t>
      </w:r>
      <w:r w:rsidRPr="00944C9E">
        <w:rPr>
          <w:rFonts w:ascii="Calibri" w:eastAsia="SimSun" w:hAnsi="Calibri" w:cs="Calibri"/>
          <w:b/>
          <w:bCs/>
          <w:i/>
          <w:iCs/>
          <w:kern w:val="1"/>
          <w:sz w:val="22"/>
          <w:szCs w:val="22"/>
          <w:lang w:eastAsia="hi-IN" w:bidi="hi-IN"/>
        </w:rPr>
        <w:t>RTG přístroj</w:t>
      </w:r>
      <w:r w:rsidR="008D6BEF">
        <w:rPr>
          <w:rFonts w:ascii="Calibri" w:eastAsia="SimSun" w:hAnsi="Calibri" w:cs="Calibri"/>
          <w:b/>
          <w:bCs/>
          <w:i/>
          <w:iCs/>
          <w:kern w:val="1"/>
          <w:sz w:val="22"/>
          <w:szCs w:val="22"/>
          <w:lang w:eastAsia="hi-IN" w:bidi="hi-IN"/>
        </w:rPr>
        <w:t>ů</w:t>
      </w:r>
      <w:r w:rsidRPr="00944C9E">
        <w:rPr>
          <w:rFonts w:ascii="Calibri" w:eastAsia="SimSun" w:hAnsi="Calibri" w:cs="Calibri"/>
          <w:b/>
          <w:bCs/>
          <w:i/>
          <w:iCs/>
          <w:kern w:val="1"/>
          <w:sz w:val="22"/>
          <w:szCs w:val="22"/>
          <w:lang w:eastAsia="hi-IN" w:bidi="hi-IN"/>
        </w:rPr>
        <w:t xml:space="preserve"> stacionární</w:t>
      </w:r>
      <w:r w:rsidR="008D6BEF">
        <w:rPr>
          <w:rFonts w:ascii="Calibri" w:eastAsia="SimSun" w:hAnsi="Calibri" w:cs="Calibri"/>
          <w:b/>
          <w:bCs/>
          <w:i/>
          <w:iCs/>
          <w:kern w:val="1"/>
          <w:sz w:val="22"/>
          <w:szCs w:val="22"/>
          <w:lang w:eastAsia="hi-IN" w:bidi="hi-IN"/>
        </w:rPr>
        <w:t>ch</w:t>
      </w:r>
      <w:r w:rsidRPr="00944C9E">
        <w:rPr>
          <w:rFonts w:ascii="Calibri" w:eastAsia="SimSun" w:hAnsi="Calibri" w:cs="Calibri"/>
          <w:i/>
          <w:iCs/>
          <w:kern w:val="1"/>
          <w:sz w:val="22"/>
          <w:szCs w:val="22"/>
          <w:lang w:eastAsia="hi-IN" w:bidi="hi-IN"/>
        </w:rPr>
        <w:t xml:space="preserve">, </w:t>
      </w:r>
      <w:r w:rsidRPr="00944C9E">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DC80F48" w14:textId="2AA099E6" w:rsidR="00996B5D" w:rsidRDefault="004C4A84" w:rsidP="00996B5D">
      <w:pPr>
        <w:pStyle w:val="Odstavecseseznamem"/>
        <w:widowControl w:val="0"/>
        <w:numPr>
          <w:ilvl w:val="0"/>
          <w:numId w:val="36"/>
        </w:numPr>
        <w:tabs>
          <w:tab w:val="left" w:pos="1134"/>
        </w:tabs>
        <w:suppressAutoHyphens/>
        <w:spacing w:after="60"/>
        <w:ind w:hanging="7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demontáž a ekologická likvidace stávajícího zařízení magnetické rezonance včetně protokolu</w:t>
      </w:r>
      <w:r w:rsidR="00FB22DD">
        <w:rPr>
          <w:rFonts w:ascii="Calibri" w:eastAsia="SimSun" w:hAnsi="Calibri" w:cs="Calibri"/>
          <w:kern w:val="1"/>
          <w:sz w:val="22"/>
          <w:szCs w:val="22"/>
          <w:lang w:eastAsia="hi-IN" w:bidi="hi-IN"/>
        </w:rPr>
        <w:t xml:space="preserve">, </w:t>
      </w:r>
    </w:p>
    <w:p w14:paraId="6E3CD575" w14:textId="7A12B59B" w:rsidR="00FB22DD" w:rsidRPr="00996B5D" w:rsidRDefault="00FB22DD" w:rsidP="00FB22DD">
      <w:pPr>
        <w:pStyle w:val="Odstavecseseznamem"/>
        <w:widowControl w:val="0"/>
        <w:numPr>
          <w:ilvl w:val="0"/>
          <w:numId w:val="37"/>
        </w:numPr>
        <w:tabs>
          <w:tab w:val="left" w:pos="1134"/>
        </w:tabs>
        <w:suppressAutoHyphens/>
        <w:spacing w:after="60"/>
        <w:ind w:left="1985"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prodávající se zavazuje vystavit a předat kupujícímu originál protokolu o ekologické likvidaci stávajícího zařízení v souladu s právními předpisy ČR</w:t>
      </w:r>
    </w:p>
    <w:p w14:paraId="30E23D04" w14:textId="0C060A07"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41D046" w14:textId="77777777" w:rsidR="00893A81" w:rsidRPr="00913A1E" w:rsidRDefault="00893A81" w:rsidP="00893A81">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dodávka komponentů a provedení prací požadovaných kupujícím k instalaci zboží v místě určeném kupujícím (podrobný popis je obsažen v příloze č. 2 této smlouvy)  </w:t>
      </w:r>
    </w:p>
    <w:p w14:paraId="6F987C19" w14:textId="76BBF708" w:rsidR="001516CF" w:rsidRPr="001516CF" w:rsidRDefault="00893A81"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 xml:space="preserve">provedení zkušebního provozu jakož i provedení jiných úkonů a činností nutných k tomu, </w:t>
      </w:r>
      <w:r w:rsidRPr="00836966">
        <w:rPr>
          <w:rFonts w:ascii="Calibri" w:eastAsia="SimSun" w:hAnsi="Calibri" w:cs="Calibri"/>
          <w:kern w:val="1"/>
          <w:sz w:val="22"/>
          <w:szCs w:val="22"/>
          <w:lang w:eastAsia="hi-IN" w:bidi="hi-IN"/>
        </w:rPr>
        <w:lastRenderedPageBreak/>
        <w:t>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00FAB22E" w14:textId="4D0E54BB" w:rsidR="004F381C" w:rsidRPr="00944C9E" w:rsidRDefault="006A36A9" w:rsidP="00D55539">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944C9E">
        <w:rPr>
          <w:rFonts w:ascii="Calibri" w:eastAsia="SimSun" w:hAnsi="Calibri" w:cs="Calibri"/>
          <w:kern w:val="1"/>
          <w:sz w:val="22"/>
          <w:szCs w:val="22"/>
          <w:lang w:eastAsia="hi-IN" w:bidi="hi-IN"/>
        </w:rPr>
        <w:t xml:space="preserve">Prodávající je povinen dodat kupujícímu zboží do místa plnění, kterým je </w:t>
      </w:r>
      <w:r w:rsidR="007D4423" w:rsidRPr="00944C9E">
        <w:rPr>
          <w:rFonts w:ascii="Calibri" w:eastAsia="SimSun" w:hAnsi="Calibri" w:cs="Calibri"/>
          <w:kern w:val="1"/>
          <w:sz w:val="22"/>
          <w:szCs w:val="22"/>
          <w:lang w:eastAsia="hi-IN" w:bidi="hi-IN"/>
        </w:rPr>
        <w:t>pracoviště zadavatele</w:t>
      </w:r>
      <w:r w:rsidR="00020322" w:rsidRPr="00944C9E">
        <w:rPr>
          <w:rFonts w:ascii="Calibri" w:eastAsia="SimSun" w:hAnsi="Calibri" w:cs="Calibri"/>
          <w:kern w:val="1"/>
          <w:sz w:val="22"/>
          <w:szCs w:val="22"/>
          <w:lang w:eastAsia="hi-IN" w:bidi="hi-IN"/>
        </w:rPr>
        <w:t xml:space="preserve"> </w:t>
      </w:r>
      <w:bookmarkStart w:id="2" w:name="_Hlk20150369"/>
      <w:r w:rsidR="004F381C" w:rsidRPr="00944C9E">
        <w:rPr>
          <w:rFonts w:ascii="Calibri" w:eastAsia="SimSun" w:hAnsi="Calibri" w:cs="Calibri"/>
          <w:kern w:val="1"/>
          <w:sz w:val="22"/>
          <w:szCs w:val="22"/>
          <w:lang w:eastAsia="hi-IN" w:bidi="hi-IN"/>
        </w:rPr>
        <w:t>Litomyšlská nemocnice, J</w:t>
      </w:r>
      <w:r w:rsidR="001B1779">
        <w:rPr>
          <w:rFonts w:ascii="Calibri" w:eastAsia="SimSun" w:hAnsi="Calibri" w:cs="Calibri"/>
          <w:kern w:val="1"/>
          <w:sz w:val="22"/>
          <w:szCs w:val="22"/>
          <w:lang w:eastAsia="hi-IN" w:bidi="hi-IN"/>
        </w:rPr>
        <w:t>.</w:t>
      </w:r>
      <w:r w:rsidR="004F381C" w:rsidRPr="00944C9E">
        <w:rPr>
          <w:rFonts w:ascii="Calibri" w:eastAsia="SimSun" w:hAnsi="Calibri" w:cs="Calibri"/>
          <w:kern w:val="1"/>
          <w:sz w:val="22"/>
          <w:szCs w:val="22"/>
          <w:lang w:eastAsia="hi-IN" w:bidi="hi-IN"/>
        </w:rPr>
        <w:t xml:space="preserve"> E</w:t>
      </w:r>
      <w:r w:rsidR="001B1779">
        <w:rPr>
          <w:rFonts w:ascii="Calibri" w:eastAsia="SimSun" w:hAnsi="Calibri" w:cs="Calibri"/>
          <w:kern w:val="1"/>
          <w:sz w:val="22"/>
          <w:szCs w:val="22"/>
          <w:lang w:eastAsia="hi-IN" w:bidi="hi-IN"/>
        </w:rPr>
        <w:t>.</w:t>
      </w:r>
      <w:r w:rsidR="004F381C" w:rsidRPr="00944C9E">
        <w:rPr>
          <w:rFonts w:ascii="Calibri" w:eastAsia="SimSun" w:hAnsi="Calibri" w:cs="Calibri"/>
          <w:kern w:val="1"/>
          <w:sz w:val="22"/>
          <w:szCs w:val="22"/>
          <w:lang w:eastAsia="hi-IN" w:bidi="hi-IN"/>
        </w:rPr>
        <w:t xml:space="preserve"> Purkyně 652, </w:t>
      </w:r>
      <w:r w:rsidR="00944C9E" w:rsidRPr="00944C9E">
        <w:rPr>
          <w:rFonts w:ascii="Calibri" w:eastAsia="SimSun" w:hAnsi="Calibri" w:cs="Calibri"/>
          <w:kern w:val="1"/>
          <w:sz w:val="22"/>
          <w:szCs w:val="22"/>
          <w:lang w:eastAsia="hi-IN" w:bidi="hi-IN"/>
        </w:rPr>
        <w:t>532 03</w:t>
      </w:r>
      <w:r w:rsidR="00944C9E">
        <w:rPr>
          <w:rFonts w:ascii="Calibri" w:eastAsia="SimSun" w:hAnsi="Calibri" w:cs="Calibri"/>
          <w:kern w:val="1"/>
          <w:sz w:val="22"/>
          <w:szCs w:val="22"/>
          <w:lang w:eastAsia="hi-IN" w:bidi="hi-IN"/>
        </w:rPr>
        <w:t xml:space="preserve"> </w:t>
      </w:r>
      <w:r w:rsidR="004F381C" w:rsidRPr="00944C9E">
        <w:rPr>
          <w:rFonts w:ascii="Calibri" w:eastAsia="SimSun" w:hAnsi="Calibri" w:cs="Calibri"/>
          <w:kern w:val="1"/>
          <w:sz w:val="22"/>
          <w:szCs w:val="22"/>
          <w:lang w:eastAsia="hi-IN" w:bidi="hi-IN"/>
        </w:rPr>
        <w:t>Litomyšl</w:t>
      </w:r>
      <w:bookmarkEnd w:id="2"/>
      <w:r w:rsidR="00944C9E" w:rsidRPr="00944C9E">
        <w:rPr>
          <w:rFonts w:ascii="Calibri" w:eastAsia="SimSun" w:hAnsi="Calibri" w:cs="Calibri"/>
          <w:kern w:val="1"/>
          <w:sz w:val="22"/>
          <w:szCs w:val="22"/>
          <w:lang w:eastAsia="hi-IN" w:bidi="hi-IN"/>
        </w:rPr>
        <w:t>.</w:t>
      </w:r>
    </w:p>
    <w:p w14:paraId="6CF87854" w14:textId="5431291B" w:rsidR="005C1A55"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Kupující</w:t>
      </w:r>
      <w:r w:rsidR="0053456F"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písemně </w:t>
      </w:r>
      <w:r w:rsidR="0053456F" w:rsidRPr="005C1A55">
        <w:rPr>
          <w:rFonts w:ascii="Calibri" w:eastAsia="SimSun" w:hAnsi="Calibri" w:cs="Calibri"/>
          <w:kern w:val="1"/>
          <w:sz w:val="22"/>
          <w:szCs w:val="22"/>
          <w:lang w:eastAsia="hi-IN" w:bidi="hi-IN"/>
        </w:rPr>
        <w:t xml:space="preserve">vyzve </w:t>
      </w:r>
      <w:r w:rsidRPr="005C1A55">
        <w:rPr>
          <w:rFonts w:ascii="Calibri" w:eastAsia="SimSun" w:hAnsi="Calibri" w:cs="Calibri"/>
          <w:kern w:val="1"/>
          <w:sz w:val="22"/>
          <w:szCs w:val="22"/>
          <w:lang w:eastAsia="hi-IN" w:bidi="hi-IN"/>
        </w:rPr>
        <w:t>prodávajícího k demontáži a ekologické likvidaci stávajícího zařízení min. 30 kalendářních dnů předem, přičemž max doba demontáže stávající</w:t>
      </w:r>
      <w:r w:rsidR="00013114">
        <w:rPr>
          <w:rFonts w:ascii="Calibri" w:eastAsia="SimSun" w:hAnsi="Calibri" w:cs="Calibri"/>
          <w:kern w:val="1"/>
          <w:sz w:val="22"/>
          <w:szCs w:val="22"/>
          <w:lang w:eastAsia="hi-IN" w:bidi="hi-IN"/>
        </w:rPr>
        <w:t>ch</w:t>
      </w:r>
      <w:r w:rsidRPr="005C1A55">
        <w:rPr>
          <w:rFonts w:ascii="Calibri" w:eastAsia="SimSun" w:hAnsi="Calibri" w:cs="Calibri"/>
          <w:kern w:val="1"/>
          <w:sz w:val="22"/>
          <w:szCs w:val="22"/>
          <w:lang w:eastAsia="hi-IN" w:bidi="hi-IN"/>
        </w:rPr>
        <w:t xml:space="preserve"> zařízení je </w:t>
      </w:r>
      <w:r w:rsidR="00013114">
        <w:rPr>
          <w:rFonts w:ascii="Calibri" w:eastAsia="SimSun" w:hAnsi="Calibri" w:cs="Calibri"/>
          <w:kern w:val="1"/>
          <w:sz w:val="22"/>
          <w:szCs w:val="22"/>
          <w:lang w:eastAsia="hi-IN" w:bidi="hi-IN"/>
        </w:rPr>
        <w:t>4</w:t>
      </w:r>
      <w:r w:rsidR="00013114"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 xml:space="preserve">kalendářní dny. </w:t>
      </w:r>
    </w:p>
    <w:p w14:paraId="0A33C278" w14:textId="2F2B7F1E" w:rsidR="00602896" w:rsidRDefault="005C1A55"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2 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w:t>
      </w:r>
      <w:r w:rsidR="00B774C6" w:rsidRPr="005C1A55">
        <w:rPr>
          <w:rFonts w:ascii="Calibri" w:eastAsia="SimSun" w:hAnsi="Calibri" w:cs="Calibri"/>
          <w:kern w:val="1"/>
          <w:sz w:val="22"/>
          <w:szCs w:val="22"/>
          <w:lang w:eastAsia="hi-IN" w:bidi="hi-IN"/>
        </w:rPr>
        <w:lastRenderedPageBreak/>
        <w:t xml:space="preserve">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FEE37E5" w14:textId="7052E665" w:rsidR="00072EC0" w:rsidRDefault="0093122C" w:rsidP="00072EC0">
      <w:pPr>
        <w:pStyle w:val="Bezmezer"/>
        <w:ind w:left="720"/>
        <w:jc w:val="both"/>
      </w:pPr>
      <w:r>
        <w:t xml:space="preserve">z ceny za pořízení přístrojového vybavení. Tato cena zahrnuje veškeré náklady související s plněním předmětu koupě </w:t>
      </w:r>
      <w:r w:rsidR="00072EC0">
        <w:t xml:space="preserve">kromě ceny </w:t>
      </w:r>
      <w:r w:rsidR="00072EC0">
        <w:rPr>
          <w:rFonts w:eastAsia="SimSun"/>
          <w:kern w:val="1"/>
          <w:lang w:eastAsia="hi-IN" w:bidi="hi-IN"/>
        </w:rPr>
        <w:t>komponentů a prací požadovaných kupujícím k instalaci zboží</w:t>
      </w:r>
      <w:r w:rsidR="00072EC0">
        <w:t>:</w:t>
      </w:r>
    </w:p>
    <w:p w14:paraId="24F1922F" w14:textId="77777777" w:rsidR="0093122C" w:rsidRDefault="0093122C" w:rsidP="004444DA">
      <w:pPr>
        <w:pStyle w:val="Bezmezer"/>
        <w:ind w:left="720"/>
        <w:jc w:val="both"/>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2CC478A1" w14:textId="4ABAD0D8" w:rsidR="00072EC0" w:rsidRPr="004444DA" w:rsidRDefault="00072EC0" w:rsidP="00072EC0">
      <w:pPr>
        <w:ind w:left="135" w:firstLine="574"/>
        <w:jc w:val="both"/>
        <w:rPr>
          <w:rFonts w:asciiTheme="minorHAnsi" w:hAnsiTheme="minorHAnsi" w:cs="Calibri"/>
          <w:szCs w:val="22"/>
        </w:rPr>
      </w:pPr>
      <w:r w:rsidRPr="004444DA">
        <w:rPr>
          <w:rFonts w:asciiTheme="minorHAnsi" w:hAnsiTheme="minorHAnsi" w:cs="Calibri"/>
          <w:szCs w:val="22"/>
        </w:rPr>
        <w:t>a</w:t>
      </w:r>
    </w:p>
    <w:p w14:paraId="085492A1" w14:textId="77777777" w:rsidR="00072EC0" w:rsidRPr="004444DA" w:rsidRDefault="00072EC0" w:rsidP="00072EC0">
      <w:pPr>
        <w:ind w:left="135"/>
        <w:jc w:val="both"/>
        <w:rPr>
          <w:rFonts w:asciiTheme="minorHAnsi" w:hAnsiTheme="minorHAnsi" w:cs="Calibri"/>
          <w:szCs w:val="22"/>
        </w:rPr>
      </w:pPr>
    </w:p>
    <w:p w14:paraId="2F89F1AC" w14:textId="77777777" w:rsidR="00072EC0" w:rsidRPr="004756E9" w:rsidRDefault="00072EC0" w:rsidP="00072EC0">
      <w:pPr>
        <w:pStyle w:val="Odstavecseseznamem"/>
        <w:jc w:val="both"/>
        <w:rPr>
          <w:rFonts w:asciiTheme="minorHAnsi" w:hAnsiTheme="minorHAnsi" w:cs="Calibri"/>
          <w:sz w:val="22"/>
          <w:szCs w:val="22"/>
        </w:rPr>
      </w:pPr>
      <w:r w:rsidRPr="004756E9">
        <w:rPr>
          <w:rFonts w:asciiTheme="minorHAnsi" w:hAnsiTheme="minorHAnsi" w:cs="Calibri"/>
          <w:sz w:val="22"/>
          <w:szCs w:val="22"/>
        </w:rPr>
        <w:t xml:space="preserve">z ceny za </w:t>
      </w:r>
      <w:r w:rsidRPr="004756E9">
        <w:rPr>
          <w:rFonts w:asciiTheme="minorHAnsi" w:eastAsia="SimSun" w:hAnsiTheme="minorHAnsi" w:cs="Calibri"/>
          <w:kern w:val="1"/>
          <w:sz w:val="22"/>
          <w:szCs w:val="22"/>
          <w:lang w:eastAsia="hi-IN" w:bidi="hi-IN"/>
        </w:rPr>
        <w:t xml:space="preserve">komponenty a práce </w:t>
      </w:r>
      <w:r w:rsidRPr="004756E9">
        <w:rPr>
          <w:rFonts w:asciiTheme="minorHAnsi" w:eastAsia="SimSun" w:hAnsiTheme="minorHAnsi"/>
          <w:kern w:val="1"/>
          <w:sz w:val="22"/>
          <w:szCs w:val="22"/>
          <w:lang w:eastAsia="hi-IN" w:bidi="hi-IN"/>
        </w:rPr>
        <w:t xml:space="preserve">požadované kupujícím </w:t>
      </w:r>
      <w:r w:rsidRPr="004756E9">
        <w:rPr>
          <w:rFonts w:asciiTheme="minorHAnsi" w:eastAsia="SimSun" w:hAnsiTheme="minorHAnsi" w:cs="Calibri"/>
          <w:kern w:val="1"/>
          <w:sz w:val="22"/>
          <w:szCs w:val="22"/>
          <w:lang w:eastAsia="hi-IN" w:bidi="hi-IN"/>
        </w:rPr>
        <w:t>k instalaci zboží</w:t>
      </w:r>
      <w:r w:rsidRPr="004756E9">
        <w:rPr>
          <w:rFonts w:asciiTheme="minorHAnsi" w:hAnsiTheme="minorHAnsi" w:cs="Calibri"/>
          <w:sz w:val="22"/>
          <w:szCs w:val="22"/>
        </w:rPr>
        <w:t>:</w:t>
      </w:r>
    </w:p>
    <w:p w14:paraId="5A091C63" w14:textId="77777777" w:rsidR="00072EC0" w:rsidRPr="004444DA" w:rsidRDefault="00072EC0" w:rsidP="00072EC0">
      <w:pPr>
        <w:ind w:left="709"/>
        <w:jc w:val="both"/>
        <w:rPr>
          <w:rFonts w:asciiTheme="minorHAnsi" w:hAnsiTheme="minorHAnsi" w:cs="Calibri"/>
          <w:sz w:val="22"/>
          <w:szCs w:val="22"/>
        </w:rPr>
      </w:pPr>
    </w:p>
    <w:p w14:paraId="2A92F80E" w14:textId="77777777" w:rsidR="00072EC0" w:rsidRPr="004444DA" w:rsidRDefault="00072EC0" w:rsidP="00072EC0">
      <w:pPr>
        <w:pStyle w:val="Bezmezer"/>
        <w:spacing w:line="276" w:lineRule="auto"/>
        <w:ind w:left="567" w:firstLine="142"/>
        <w:jc w:val="both"/>
        <w:rPr>
          <w:rFonts w:asciiTheme="minorHAnsi" w:hAnsiTheme="minorHAnsi"/>
          <w:b/>
        </w:rPr>
      </w:pPr>
      <w:r w:rsidRPr="004444DA">
        <w:rPr>
          <w:rFonts w:asciiTheme="minorHAnsi" w:hAnsiTheme="minorHAnsi"/>
        </w:rPr>
        <w:t xml:space="preserve">Cena bez DPH činí:       </w:t>
      </w:r>
      <w:r w:rsidRPr="004444DA">
        <w:rPr>
          <w:rFonts w:asciiTheme="minorHAnsi" w:hAnsiTheme="minorHAnsi"/>
        </w:rPr>
        <w:tab/>
      </w:r>
      <w:r w:rsidRPr="004444DA">
        <w:rPr>
          <w:rFonts w:asciiTheme="minorHAnsi" w:eastAsia="SimSun" w:hAnsiTheme="minorHAnsi"/>
          <w:i/>
          <w:kern w:val="1"/>
          <w:highlight w:val="yellow"/>
          <w:lang w:eastAsia="hi-IN" w:bidi="hi-IN"/>
        </w:rPr>
        <w:t xml:space="preserve">doplní dodavatel </w:t>
      </w:r>
      <w:r w:rsidRPr="004444DA">
        <w:rPr>
          <w:rFonts w:asciiTheme="minorHAnsi" w:hAnsiTheme="minorHAnsi"/>
        </w:rPr>
        <w:t xml:space="preserve">Kč </w:t>
      </w:r>
    </w:p>
    <w:p w14:paraId="6342EEC0" w14:textId="77777777" w:rsidR="00072EC0" w:rsidRPr="0093122C" w:rsidRDefault="00072EC0" w:rsidP="00072EC0">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sidRPr="004444DA">
        <w:rPr>
          <w:rFonts w:asciiTheme="minorHAnsi" w:hAnsiTheme="minorHAns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0BDCB2CF" w14:textId="77777777" w:rsidR="00072EC0" w:rsidRPr="0093122C" w:rsidRDefault="00072EC0" w:rsidP="0010599D">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p>
    <w:p w14:paraId="1F4CB992" w14:textId="381A39E1"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r w:rsidR="00AE0E9E">
        <w:rPr>
          <w:rFonts w:ascii="Calibri" w:eastAsia="SimSun" w:hAnsi="Calibri" w:cs="Calibri"/>
          <w:kern w:val="1"/>
          <w:sz w:val="22"/>
          <w:szCs w:val="22"/>
          <w:lang w:eastAsia="hi-IN" w:bidi="hi-IN"/>
        </w:rPr>
        <w:t xml:space="preserve">demontáž a ekologická likvidace stávajícího zařízení,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B0022B1"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 xml:space="preserve">Zobrazovací techniky </w:t>
      </w:r>
      <w:r w:rsidR="00F3099C">
        <w:rPr>
          <w:rFonts w:ascii="Calibri" w:eastAsia="SimSun" w:hAnsi="Calibri" w:cs="Calibri"/>
          <w:snapToGrid w:val="0"/>
          <w:kern w:val="1"/>
          <w:sz w:val="22"/>
          <w:szCs w:val="22"/>
          <w:lang w:eastAsia="hi-IN" w:bidi="hi-IN"/>
        </w:rPr>
        <w:t>RDG přístroje</w:t>
      </w:r>
      <w:r w:rsidR="00BA7FE6" w:rsidRPr="00BA7FE6">
        <w:rPr>
          <w:rFonts w:ascii="Calibri" w:eastAsia="SimSun" w:hAnsi="Calibri" w:cs="Calibri"/>
          <w:snapToGrid w:val="0"/>
          <w:kern w:val="1"/>
          <w:sz w:val="22"/>
          <w:szCs w:val="22"/>
          <w:lang w:eastAsia="hi-IN" w:bidi="hi-IN"/>
        </w:rPr>
        <w:t>“</w:t>
      </w:r>
    </w:p>
    <w:p w14:paraId="763FCF5F" w14:textId="38CA4467"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2A5116">
        <w:rPr>
          <w:rFonts w:ascii="Calibri" w:eastAsia="SimSun" w:hAnsi="Calibri" w:cs="Calibri"/>
          <w:kern w:val="1"/>
          <w:sz w:val="22"/>
          <w:szCs w:val="22"/>
          <w:lang w:eastAsia="hi-IN" w:bidi="hi-IN"/>
        </w:rPr>
        <w:t>42</w:t>
      </w:r>
      <w:r w:rsidRPr="00896738">
        <w:rPr>
          <w:rFonts w:ascii="Calibri" w:eastAsia="SimSun" w:hAnsi="Calibri" w:cs="Calibri"/>
          <w:kern w:val="1"/>
          <w:sz w:val="22"/>
          <w:szCs w:val="22"/>
          <w:lang w:eastAsia="hi-IN" w:bidi="hi-IN"/>
        </w:rPr>
        <w:t>“ a zároveň „P19_01</w:t>
      </w:r>
      <w:r w:rsidR="00DE0552">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D2A74">
        <w:rPr>
          <w:rFonts w:ascii="Calibri" w:eastAsia="SimSun" w:hAnsi="Calibri" w:cs="Calibri"/>
          <w:b/>
          <w:bCs/>
          <w:kern w:val="1"/>
          <w:sz w:val="22"/>
          <w:szCs w:val="22"/>
          <w:lang w:eastAsia="hi-IN" w:bidi="hi-IN"/>
        </w:rPr>
        <w:t>Dodací podmínky</w:t>
      </w:r>
    </w:p>
    <w:p w14:paraId="2E4D324A" w14:textId="6A872906" w:rsidR="008E76A1" w:rsidRPr="00FD2A74"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FD2A74">
        <w:rPr>
          <w:rFonts w:ascii="Calibri" w:eastAsia="SimSun" w:hAnsi="Calibri" w:cs="Calibri"/>
          <w:kern w:val="1"/>
          <w:sz w:val="22"/>
          <w:szCs w:val="22"/>
          <w:lang w:eastAsia="hi-IN" w:bidi="hi-IN"/>
        </w:rPr>
        <w:t xml:space="preserve">Prodávající se zavazuje vyrozumět uvedenou kontaktní osobu kupujícího </w:t>
      </w:r>
      <w:r w:rsidR="00F1156D" w:rsidRPr="00FD2A74">
        <w:rPr>
          <w:rFonts w:ascii="Calibri" w:eastAsia="SimSun" w:hAnsi="Calibri" w:cs="Calibri"/>
          <w:kern w:val="1"/>
          <w:sz w:val="22"/>
          <w:szCs w:val="22"/>
          <w:lang w:eastAsia="hi-IN" w:bidi="hi-IN"/>
        </w:rPr>
        <w:t xml:space="preserve">uvedenou v čl. V. odst. 3 této smlouvy </w:t>
      </w:r>
      <w:r w:rsidRPr="00FD2A74">
        <w:rPr>
          <w:rFonts w:ascii="Calibri" w:eastAsia="SimSun" w:hAnsi="Calibri" w:cs="Calibri"/>
          <w:kern w:val="1"/>
          <w:sz w:val="22"/>
          <w:szCs w:val="22"/>
          <w:lang w:eastAsia="hi-IN" w:bidi="hi-IN"/>
        </w:rPr>
        <w:t>o dodávce zboží nejméně 5 pracovních dní pře</w:t>
      </w:r>
      <w:r w:rsidR="00F1156D" w:rsidRPr="00FD2A74">
        <w:rPr>
          <w:rFonts w:ascii="Calibri" w:eastAsia="SimSun" w:hAnsi="Calibri" w:cs="Calibri"/>
          <w:kern w:val="1"/>
          <w:sz w:val="22"/>
          <w:szCs w:val="22"/>
          <w:lang w:eastAsia="hi-IN" w:bidi="hi-IN"/>
        </w:rPr>
        <w:t>d její realizací</w:t>
      </w:r>
      <w:r w:rsidR="00AE0E9E" w:rsidRPr="00FD2A74">
        <w:rPr>
          <w:rFonts w:ascii="Calibri" w:eastAsia="SimSun" w:hAnsi="Calibri" w:cs="Calibri"/>
          <w:kern w:val="1"/>
          <w:sz w:val="22"/>
          <w:szCs w:val="22"/>
          <w:lang w:eastAsia="hi-IN" w:bidi="hi-IN"/>
        </w:rPr>
        <w:t>.</w:t>
      </w:r>
    </w:p>
    <w:p w14:paraId="628F0F55" w14:textId="526BA84D" w:rsidR="008E76A1" w:rsidRPr="00FD2A74"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FD2A74">
        <w:rPr>
          <w:rFonts w:ascii="Calibri" w:eastAsia="SimSun" w:hAnsi="Calibri" w:cs="Calibri"/>
          <w:noProof w:val="0"/>
          <w:kern w:val="1"/>
          <w:sz w:val="22"/>
          <w:szCs w:val="22"/>
          <w:lang w:eastAsia="hi-IN" w:bidi="hi-IN"/>
        </w:rPr>
        <w:t xml:space="preserve">Prodávající se zavazuje kupujícímu nejdéle 10 kalendářních dnů po </w:t>
      </w:r>
      <w:r w:rsidR="00F1156D" w:rsidRPr="00FD2A74">
        <w:rPr>
          <w:rFonts w:ascii="Calibri" w:eastAsia="SimSun" w:hAnsi="Calibri" w:cs="Calibri"/>
          <w:noProof w:val="0"/>
          <w:kern w:val="1"/>
          <w:sz w:val="22"/>
          <w:szCs w:val="22"/>
          <w:lang w:eastAsia="hi-IN" w:bidi="hi-IN"/>
        </w:rPr>
        <w:t xml:space="preserve">účinnosti </w:t>
      </w:r>
      <w:r w:rsidRPr="00FD2A74">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2A6FE113" w:rsidR="008E76A1" w:rsidRPr="00FD2A74"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FD2A74">
        <w:rPr>
          <w:rFonts w:ascii="Calibri" w:eastAsia="SimSun" w:hAnsi="Calibri" w:cs="Calibri"/>
          <w:kern w:val="1"/>
          <w:sz w:val="22"/>
          <w:szCs w:val="22"/>
          <w:lang w:eastAsia="hi-IN" w:bidi="hi-IN"/>
        </w:rPr>
        <w:t xml:space="preserve">Kupující pověřil jako svého zástupce k převzetí zboží (kontaktní osobu): </w:t>
      </w:r>
    </w:p>
    <w:p w14:paraId="72233DBF" w14:textId="59710724"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FD2A74">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00FD2A74" w:rsidRPr="00FD2A74">
        <w:rPr>
          <w:rFonts w:ascii="Calibri" w:eastAsia="SimSun" w:hAnsi="Calibri" w:cs="Calibri"/>
          <w:kern w:val="1"/>
          <w:sz w:val="22"/>
          <w:szCs w:val="22"/>
          <w:highlight w:val="lightGray"/>
          <w:lang w:eastAsia="hi-IN" w:bidi="hi-IN"/>
        </w:rPr>
        <w:t>…………….</w:t>
      </w:r>
      <w:r w:rsidR="00FD2A74" w:rsidRPr="00FD2A74">
        <w:rPr>
          <w:rFonts w:ascii="Calibri" w:eastAsia="SimSun" w:hAnsi="Calibri" w:cs="Calibri"/>
          <w:i/>
          <w:iCs/>
          <w:kern w:val="1"/>
          <w:sz w:val="22"/>
          <w:szCs w:val="22"/>
          <w:highlight w:val="lightGray"/>
          <w:lang w:eastAsia="hi-IN" w:bidi="hi-IN"/>
        </w:rPr>
        <w:t xml:space="preserve"> </w:t>
      </w:r>
      <w:r w:rsidR="00FD2A74" w:rsidRPr="00944C9E">
        <w:rPr>
          <w:rFonts w:ascii="Calibri" w:eastAsia="SimSun" w:hAnsi="Calibri" w:cs="Calibri"/>
          <w:i/>
          <w:iCs/>
          <w:kern w:val="1"/>
          <w:sz w:val="22"/>
          <w:szCs w:val="22"/>
          <w:highlight w:val="lightGray"/>
          <w:lang w:eastAsia="hi-IN" w:bidi="hi-IN"/>
        </w:rPr>
        <w:t>(bude doplněno před podpisem smlouvy)</w:t>
      </w:r>
    </w:p>
    <w:p w14:paraId="4D04AA64" w14:textId="1795F90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FD2A74" w:rsidRPr="00FD2A74">
        <w:rPr>
          <w:rFonts w:ascii="Calibri" w:eastAsia="SimSun" w:hAnsi="Calibri" w:cs="Calibri"/>
          <w:kern w:val="1"/>
          <w:sz w:val="22"/>
          <w:szCs w:val="22"/>
          <w:lang w:eastAsia="hi-IN" w:bidi="hi-IN"/>
        </w:rPr>
        <w:t xml:space="preserve"> </w:t>
      </w:r>
      <w:r w:rsidR="00FD2A74" w:rsidRPr="008E76A1">
        <w:rPr>
          <w:rFonts w:ascii="Calibri" w:eastAsia="SimSun" w:hAnsi="Calibri" w:cs="Calibri"/>
          <w:kern w:val="1"/>
          <w:sz w:val="22"/>
          <w:szCs w:val="22"/>
          <w:lang w:eastAsia="hi-IN" w:bidi="hi-IN"/>
        </w:rPr>
        <w:t>:</w:t>
      </w:r>
      <w:r w:rsidR="00FD2A74" w:rsidRPr="00FD2A74">
        <w:rPr>
          <w:rFonts w:ascii="Calibri" w:eastAsia="SimSun" w:hAnsi="Calibri" w:cs="Calibri"/>
          <w:kern w:val="1"/>
          <w:sz w:val="22"/>
          <w:szCs w:val="22"/>
          <w:highlight w:val="lightGray"/>
          <w:lang w:eastAsia="hi-IN" w:bidi="hi-IN"/>
        </w:rPr>
        <w:t>…………….</w:t>
      </w:r>
      <w:r w:rsidR="00FD2A74" w:rsidRPr="00FD2A74">
        <w:rPr>
          <w:rFonts w:ascii="Calibri" w:eastAsia="SimSun" w:hAnsi="Calibri" w:cs="Calibri"/>
          <w:i/>
          <w:iCs/>
          <w:kern w:val="1"/>
          <w:sz w:val="22"/>
          <w:szCs w:val="22"/>
          <w:highlight w:val="lightGray"/>
          <w:lang w:eastAsia="hi-IN" w:bidi="hi-IN"/>
        </w:rPr>
        <w:t xml:space="preserve"> </w:t>
      </w:r>
      <w:r w:rsidR="00FD2A74" w:rsidRPr="00944C9E">
        <w:rPr>
          <w:rFonts w:ascii="Calibri" w:eastAsia="SimSun" w:hAnsi="Calibri" w:cs="Calibri"/>
          <w:i/>
          <w:iCs/>
          <w:kern w:val="1"/>
          <w:sz w:val="22"/>
          <w:szCs w:val="22"/>
          <w:highlight w:val="lightGray"/>
          <w:lang w:eastAsia="hi-IN" w:bidi="hi-IN"/>
        </w:rPr>
        <w:t>(bude doplněno před podpisem smlouvy)</w:t>
      </w:r>
    </w:p>
    <w:p w14:paraId="4709AEA5" w14:textId="7EF0C92C"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r w:rsidR="00FD2A74" w:rsidRPr="00FD2A74">
        <w:rPr>
          <w:rFonts w:ascii="Calibri" w:eastAsia="SimSun" w:hAnsi="Calibri" w:cs="Calibri"/>
          <w:kern w:val="1"/>
          <w:sz w:val="22"/>
          <w:szCs w:val="22"/>
          <w:lang w:eastAsia="hi-IN" w:bidi="hi-IN"/>
        </w:rPr>
        <w:t xml:space="preserve"> </w:t>
      </w:r>
      <w:r w:rsidR="00FD2A74" w:rsidRPr="008E76A1">
        <w:rPr>
          <w:rFonts w:ascii="Calibri" w:eastAsia="SimSun" w:hAnsi="Calibri" w:cs="Calibri"/>
          <w:kern w:val="1"/>
          <w:sz w:val="22"/>
          <w:szCs w:val="22"/>
          <w:lang w:eastAsia="hi-IN" w:bidi="hi-IN"/>
        </w:rPr>
        <w:t>:</w:t>
      </w:r>
      <w:r w:rsidR="00FD2A74" w:rsidRPr="00FD2A74">
        <w:rPr>
          <w:rFonts w:ascii="Calibri" w:eastAsia="SimSun" w:hAnsi="Calibri" w:cs="Calibri"/>
          <w:kern w:val="1"/>
          <w:sz w:val="22"/>
          <w:szCs w:val="22"/>
          <w:highlight w:val="lightGray"/>
          <w:lang w:eastAsia="hi-IN" w:bidi="hi-IN"/>
        </w:rPr>
        <w:t>…………….</w:t>
      </w:r>
      <w:r w:rsidR="00FD2A74" w:rsidRPr="00FD2A74">
        <w:rPr>
          <w:rFonts w:ascii="Calibri" w:eastAsia="SimSun" w:hAnsi="Calibri" w:cs="Calibri"/>
          <w:i/>
          <w:iCs/>
          <w:kern w:val="1"/>
          <w:sz w:val="22"/>
          <w:szCs w:val="22"/>
          <w:highlight w:val="lightGray"/>
          <w:lang w:eastAsia="hi-IN" w:bidi="hi-IN"/>
        </w:rPr>
        <w:t xml:space="preserve"> </w:t>
      </w:r>
      <w:r w:rsidR="00FD2A74" w:rsidRPr="00944C9E">
        <w:rPr>
          <w:rFonts w:ascii="Calibri" w:eastAsia="SimSun" w:hAnsi="Calibri" w:cs="Calibri"/>
          <w:i/>
          <w:iCs/>
          <w:kern w:val="1"/>
          <w:sz w:val="22"/>
          <w:szCs w:val="22"/>
          <w:highlight w:val="lightGray"/>
          <w:lang w:eastAsia="hi-IN" w:bidi="hi-IN"/>
        </w:rPr>
        <w:t>(bude doplněno před podpisem smlouvy)</w:t>
      </w:r>
    </w:p>
    <w:p w14:paraId="597DD47E" w14:textId="41B07B1D"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FD2A74" w:rsidRPr="00FD2A74">
        <w:rPr>
          <w:rFonts w:ascii="Calibri" w:eastAsia="SimSun" w:hAnsi="Calibri" w:cs="Calibri"/>
          <w:kern w:val="1"/>
          <w:sz w:val="22"/>
          <w:szCs w:val="22"/>
          <w:lang w:eastAsia="hi-IN" w:bidi="hi-IN"/>
        </w:rPr>
        <w:t xml:space="preserve"> </w:t>
      </w:r>
      <w:r w:rsidR="00FD2A74" w:rsidRPr="008E76A1">
        <w:rPr>
          <w:rFonts w:ascii="Calibri" w:eastAsia="SimSun" w:hAnsi="Calibri" w:cs="Calibri"/>
          <w:kern w:val="1"/>
          <w:sz w:val="22"/>
          <w:szCs w:val="22"/>
          <w:lang w:eastAsia="hi-IN" w:bidi="hi-IN"/>
        </w:rPr>
        <w:t>:</w:t>
      </w:r>
      <w:r w:rsidR="00FD2A74" w:rsidRPr="00FD2A74">
        <w:rPr>
          <w:rFonts w:ascii="Calibri" w:eastAsia="SimSun" w:hAnsi="Calibri" w:cs="Calibri"/>
          <w:kern w:val="1"/>
          <w:sz w:val="22"/>
          <w:szCs w:val="22"/>
          <w:highlight w:val="lightGray"/>
          <w:lang w:eastAsia="hi-IN" w:bidi="hi-IN"/>
        </w:rPr>
        <w:t>…………….</w:t>
      </w:r>
      <w:r w:rsidR="00FD2A74" w:rsidRPr="00FD2A74">
        <w:rPr>
          <w:rFonts w:ascii="Calibri" w:eastAsia="SimSun" w:hAnsi="Calibri" w:cs="Calibri"/>
          <w:i/>
          <w:iCs/>
          <w:kern w:val="1"/>
          <w:sz w:val="22"/>
          <w:szCs w:val="22"/>
          <w:highlight w:val="lightGray"/>
          <w:lang w:eastAsia="hi-IN" w:bidi="hi-IN"/>
        </w:rPr>
        <w:t xml:space="preserve"> </w:t>
      </w:r>
      <w:r w:rsidR="00FD2A74" w:rsidRPr="00944C9E">
        <w:rPr>
          <w:rFonts w:ascii="Calibri" w:eastAsia="SimSun" w:hAnsi="Calibri" w:cs="Calibri"/>
          <w:i/>
          <w:iCs/>
          <w:kern w:val="1"/>
          <w:sz w:val="22"/>
          <w:szCs w:val="22"/>
          <w:highlight w:val="lightGray"/>
          <w:lang w:eastAsia="hi-IN" w:bidi="hi-IN"/>
        </w:rPr>
        <w:t>(bude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45DF938"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50464115"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072EC0">
        <w:rPr>
          <w:rFonts w:ascii="Calibri" w:eastAsia="SimSun" w:hAnsi="Calibri" w:cs="Calibri"/>
          <w:color w:val="000000" w:themeColor="text1"/>
          <w:kern w:val="1"/>
          <w:sz w:val="22"/>
          <w:szCs w:val="22"/>
          <w:lang w:eastAsia="hi-IN" w:bidi="hi-IN"/>
        </w:rPr>
        <w:t>12</w:t>
      </w:r>
      <w:r w:rsidR="00072EC0"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072EC0">
        <w:rPr>
          <w:rFonts w:ascii="Calibri" w:eastAsia="SimSun" w:hAnsi="Calibri" w:cs="Calibri"/>
          <w:color w:val="000000" w:themeColor="text1"/>
          <w:kern w:val="1"/>
          <w:sz w:val="22"/>
          <w:szCs w:val="22"/>
          <w:lang w:eastAsia="hi-IN" w:bidi="hi-IN"/>
        </w:rPr>
        <w:t>24</w:t>
      </w:r>
      <w:r w:rsidR="00072EC0"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56F42853"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w:t>
      </w:r>
      <w:r w:rsidR="00CE5C5A">
        <w:rPr>
          <w:rFonts w:ascii="Calibri" w:eastAsia="SimSun" w:hAnsi="Calibri" w:cs="Calibri"/>
          <w:kern w:val="1"/>
          <w:sz w:val="22"/>
          <w:szCs w:val="22"/>
          <w:lang w:eastAsia="hi-IN" w:bidi="hi-IN"/>
        </w:rPr>
        <w:t xml:space="preserve">v případě požadavku </w:t>
      </w:r>
      <w:proofErr w:type="spellStart"/>
      <w:r w:rsidR="00CE5C5A">
        <w:rPr>
          <w:rFonts w:ascii="Calibri" w:eastAsia="SimSun" w:hAnsi="Calibri" w:cs="Calibri"/>
          <w:kern w:val="1"/>
          <w:sz w:val="22"/>
          <w:szCs w:val="22"/>
          <w:lang w:eastAsia="hi-IN" w:bidi="hi-IN"/>
        </w:rPr>
        <w:t>kupujícícho</w:t>
      </w:r>
      <w:proofErr w:type="spellEnd"/>
      <w:r w:rsidR="00CE5C5A">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454483"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454483">
        <w:rPr>
          <w:rFonts w:ascii="Calibri" w:eastAsia="SimSun" w:hAnsi="Calibri" w:cs="Calibri"/>
          <w:bCs/>
          <w:kern w:val="1"/>
          <w:sz w:val="22"/>
          <w:szCs w:val="22"/>
          <w:lang w:eastAsia="hi-IN" w:bidi="hi-IN"/>
        </w:rPr>
        <w:lastRenderedPageBreak/>
        <w:t xml:space="preserve">Příloha č. 1: </w:t>
      </w:r>
      <w:r w:rsidR="00B768F5" w:rsidRPr="00454483">
        <w:rPr>
          <w:rFonts w:ascii="Calibri" w:eastAsia="SimSun" w:hAnsi="Calibri" w:cs="Calibri"/>
          <w:bCs/>
          <w:kern w:val="1"/>
          <w:sz w:val="22"/>
          <w:szCs w:val="22"/>
          <w:lang w:eastAsia="hi-IN" w:bidi="hi-IN"/>
        </w:rPr>
        <w:t>Dílčí specifikace ceny</w:t>
      </w:r>
    </w:p>
    <w:p w14:paraId="2F06CA6B" w14:textId="6185F934" w:rsidR="006A36A9" w:rsidRPr="00454483"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454483">
        <w:rPr>
          <w:rFonts w:ascii="Calibri" w:eastAsia="SimSun" w:hAnsi="Calibri" w:cs="Calibri"/>
          <w:bCs/>
          <w:kern w:val="1"/>
          <w:sz w:val="22"/>
          <w:szCs w:val="22"/>
          <w:lang w:eastAsia="hi-IN" w:bidi="hi-IN"/>
        </w:rPr>
        <w:t>Příloha č. 2: Podrobná specifikace přístrojového zařízení</w:t>
      </w:r>
      <w:bookmarkStart w:id="4"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Pr="00454483" w:rsidRDefault="001314A4" w:rsidP="00454483">
      <w:pPr>
        <w:pStyle w:val="Bezmezer"/>
        <w:widowControl w:val="0"/>
        <w:suppressAutoHyphens/>
        <w:spacing w:after="60" w:line="240" w:lineRule="atLeast"/>
        <w:rPr>
          <w:rFonts w:eastAsia="SimSun"/>
          <w:kern w:val="1"/>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B87A58" w:rsidRPr="00B715FE" w14:paraId="46611430"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50FAFB66" w14:textId="77777777" w:rsidR="00B87A58" w:rsidRDefault="00B87A58"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478B6693" w14:textId="77777777" w:rsidR="00B87A58" w:rsidRPr="00B90A24" w:rsidRDefault="00B87A58"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EAEC2B" w14:textId="77777777" w:rsidR="00B87A58" w:rsidRPr="00B90A24" w:rsidRDefault="00B87A58"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73147F" w14:textId="77777777" w:rsidR="00B87A58" w:rsidRPr="00B90A24" w:rsidRDefault="00B87A58"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DE63509" w14:textId="77777777" w:rsidR="00B87A58" w:rsidRPr="00B90A24" w:rsidRDefault="00B87A58"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8D7F7F" w14:textId="77777777" w:rsidR="00B87A58" w:rsidRPr="00B90A24" w:rsidRDefault="00B87A58"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5B40A570" w14:textId="1F914DCF" w:rsidR="00D02334" w:rsidRDefault="00D02334" w:rsidP="00454483">
      <w:pPr>
        <w:spacing w:after="200" w:line="276" w:lineRule="auto"/>
        <w:rPr>
          <w:rFonts w:ascii="Calibri" w:hAnsi="Calibri" w:cs="Calibri"/>
          <w:b/>
          <w:bCs/>
        </w:rPr>
      </w:pPr>
      <w:r w:rsidRPr="00391180">
        <w:rPr>
          <w:rFonts w:ascii="Calibri" w:hAnsi="Calibri" w:cs="Calibri"/>
          <w:b/>
          <w:bCs/>
        </w:rPr>
        <w:lastRenderedPageBreak/>
        <w:t>Příloha č. 2:</w:t>
      </w:r>
      <w:r w:rsidR="00454483">
        <w:rPr>
          <w:rFonts w:ascii="Calibri" w:hAnsi="Calibri" w:cs="Calibri"/>
          <w:b/>
          <w:bCs/>
        </w:rPr>
        <w:t xml:space="preserve"> </w:t>
      </w:r>
      <w:r w:rsidRPr="00391180">
        <w:rPr>
          <w:rFonts w:ascii="Calibri" w:hAnsi="Calibri" w:cs="Calibri"/>
          <w:b/>
          <w:bCs/>
        </w:rPr>
        <w:t>Podrobná specifikace přístrojového zařízení</w:t>
      </w:r>
    </w:p>
    <w:p w14:paraId="13EF6963" w14:textId="62AABCAD" w:rsidR="00CE5C5A" w:rsidRDefault="00CE5C5A" w:rsidP="00391180">
      <w:pPr>
        <w:rPr>
          <w:rFonts w:ascii="Calibri" w:hAnsi="Calibri" w:cs="Calibri"/>
          <w:b/>
          <w:bCs/>
        </w:rPr>
      </w:pPr>
    </w:p>
    <w:p w14:paraId="546DE25D" w14:textId="77777777" w:rsidR="00CE5C5A" w:rsidRDefault="00CE5C5A" w:rsidP="00CE5C5A">
      <w:pPr>
        <w:rPr>
          <w:rFonts w:ascii="Calibri" w:hAnsi="Calibri" w:cs="Calibri"/>
          <w:b/>
          <w:bCs/>
        </w:rPr>
      </w:pPr>
    </w:p>
    <w:p w14:paraId="1691FA41" w14:textId="77777777" w:rsidR="00CE5C5A" w:rsidRDefault="00CE5C5A" w:rsidP="00CE5C5A">
      <w:pPr>
        <w:rPr>
          <w:rFonts w:ascii="Calibri" w:hAnsi="Calibri" w:cs="Calibri"/>
          <w:b/>
          <w:bCs/>
        </w:rPr>
      </w:pPr>
    </w:p>
    <w:p w14:paraId="793A5BBD" w14:textId="77777777" w:rsidR="00CE5C5A" w:rsidRDefault="00CE5C5A" w:rsidP="00CE5C5A">
      <w:pPr>
        <w:rPr>
          <w:rFonts w:ascii="Calibri" w:hAnsi="Calibri" w:cs="Calibri"/>
          <w:b/>
          <w:bCs/>
        </w:rPr>
      </w:pPr>
    </w:p>
    <w:p w14:paraId="4EDE507B" w14:textId="77777777" w:rsidR="00CE5C5A" w:rsidRDefault="00CE5C5A" w:rsidP="00CE5C5A">
      <w:pPr>
        <w:rPr>
          <w:rFonts w:ascii="Calibri" w:hAnsi="Calibri" w:cs="Calibri"/>
          <w:b/>
          <w:bCs/>
        </w:rPr>
      </w:pPr>
    </w:p>
    <w:p w14:paraId="41C24B09" w14:textId="77777777" w:rsidR="00CE5C5A" w:rsidRDefault="00CE5C5A" w:rsidP="00CE5C5A">
      <w:pPr>
        <w:rPr>
          <w:rFonts w:ascii="Calibri" w:hAnsi="Calibri" w:cs="Calibri"/>
          <w:b/>
          <w:bCs/>
        </w:rPr>
      </w:pPr>
    </w:p>
    <w:p w14:paraId="55C575A1" w14:textId="77777777" w:rsidR="00CE5C5A" w:rsidRDefault="00CE5C5A" w:rsidP="00CE5C5A">
      <w:pPr>
        <w:rPr>
          <w:rFonts w:ascii="Calibri" w:hAnsi="Calibri" w:cs="Calibri"/>
          <w:b/>
          <w:bCs/>
        </w:rPr>
      </w:pPr>
    </w:p>
    <w:p w14:paraId="133E87C5" w14:textId="77777777" w:rsidR="00CE5C5A" w:rsidRDefault="00CE5C5A" w:rsidP="00CE5C5A">
      <w:pPr>
        <w:rPr>
          <w:rFonts w:ascii="Calibri" w:hAnsi="Calibri" w:cs="Calibri"/>
          <w:b/>
          <w:bCs/>
        </w:rPr>
      </w:pPr>
    </w:p>
    <w:p w14:paraId="60EB41B8" w14:textId="77777777" w:rsidR="00CE5C5A" w:rsidRDefault="00CE5C5A" w:rsidP="00CE5C5A">
      <w:pPr>
        <w:rPr>
          <w:rFonts w:ascii="Calibri" w:hAnsi="Calibri" w:cs="Calibri"/>
          <w:b/>
          <w:bCs/>
        </w:rPr>
      </w:pPr>
    </w:p>
    <w:p w14:paraId="3C450FAD" w14:textId="77777777" w:rsidR="00CE5C5A" w:rsidRDefault="00CE5C5A" w:rsidP="00CE5C5A">
      <w:pPr>
        <w:rPr>
          <w:rFonts w:ascii="Calibri" w:hAnsi="Calibri" w:cs="Calibri"/>
          <w:b/>
          <w:bCs/>
        </w:rPr>
      </w:pPr>
    </w:p>
    <w:p w14:paraId="407745E6" w14:textId="77777777" w:rsidR="00CE5C5A" w:rsidRDefault="00CE5C5A" w:rsidP="00CE5C5A">
      <w:pPr>
        <w:rPr>
          <w:rFonts w:ascii="Calibri" w:hAnsi="Calibri" w:cs="Calibri"/>
          <w:b/>
          <w:bCs/>
        </w:rPr>
      </w:pPr>
    </w:p>
    <w:p w14:paraId="3AC17188" w14:textId="77777777" w:rsidR="00CE5C5A" w:rsidRDefault="00CE5C5A" w:rsidP="00CE5C5A">
      <w:pPr>
        <w:rPr>
          <w:rFonts w:ascii="Calibri" w:hAnsi="Calibri" w:cs="Calibri"/>
          <w:b/>
          <w:bCs/>
        </w:rPr>
      </w:pPr>
    </w:p>
    <w:p w14:paraId="2A2D343E" w14:textId="77777777" w:rsidR="00CE5C5A" w:rsidRDefault="00CE5C5A" w:rsidP="00CE5C5A">
      <w:pPr>
        <w:rPr>
          <w:rFonts w:ascii="Calibri" w:hAnsi="Calibri" w:cs="Calibri"/>
          <w:b/>
          <w:bCs/>
        </w:rPr>
      </w:pPr>
    </w:p>
    <w:p w14:paraId="2339ED17" w14:textId="77777777" w:rsidR="00CE5C5A" w:rsidRDefault="00CE5C5A" w:rsidP="00CE5C5A">
      <w:pPr>
        <w:rPr>
          <w:rFonts w:ascii="Calibri" w:hAnsi="Calibri" w:cs="Calibri"/>
          <w:b/>
          <w:bCs/>
        </w:rPr>
      </w:pPr>
    </w:p>
    <w:p w14:paraId="00495889" w14:textId="77777777" w:rsidR="00CE5C5A" w:rsidRDefault="00CE5C5A" w:rsidP="00CE5C5A">
      <w:pPr>
        <w:rPr>
          <w:rFonts w:ascii="Calibri" w:hAnsi="Calibri" w:cs="Calibri"/>
          <w:b/>
          <w:bCs/>
        </w:rPr>
      </w:pPr>
    </w:p>
    <w:p w14:paraId="18D636B2" w14:textId="77777777" w:rsidR="00CE5C5A" w:rsidRDefault="00CE5C5A" w:rsidP="00CE5C5A">
      <w:pPr>
        <w:rPr>
          <w:rFonts w:ascii="Calibri" w:hAnsi="Calibri" w:cs="Calibri"/>
          <w:b/>
          <w:bCs/>
        </w:rPr>
      </w:pPr>
    </w:p>
    <w:p w14:paraId="6CFD039C" w14:textId="77777777" w:rsidR="00CE5C5A" w:rsidRDefault="00CE5C5A" w:rsidP="00CE5C5A">
      <w:pPr>
        <w:rPr>
          <w:rFonts w:ascii="Calibri" w:hAnsi="Calibri" w:cs="Calibri"/>
          <w:b/>
          <w:bCs/>
        </w:rPr>
      </w:pPr>
    </w:p>
    <w:p w14:paraId="418061AD" w14:textId="77777777" w:rsidR="00CE5C5A" w:rsidRDefault="00CE5C5A" w:rsidP="00CE5C5A">
      <w:pPr>
        <w:rPr>
          <w:rFonts w:ascii="Calibri" w:hAnsi="Calibri" w:cs="Calibri"/>
          <w:b/>
          <w:bCs/>
        </w:rPr>
      </w:pPr>
    </w:p>
    <w:p w14:paraId="75300C60" w14:textId="77777777" w:rsidR="00CE5C5A" w:rsidRDefault="00CE5C5A" w:rsidP="00CE5C5A">
      <w:pPr>
        <w:rPr>
          <w:rFonts w:ascii="Calibri" w:hAnsi="Calibri" w:cs="Calibri"/>
          <w:b/>
          <w:bCs/>
        </w:rPr>
      </w:pPr>
    </w:p>
    <w:p w14:paraId="4F57B99B" w14:textId="77777777" w:rsidR="00CE5C5A" w:rsidRDefault="00CE5C5A" w:rsidP="00CE5C5A">
      <w:pPr>
        <w:rPr>
          <w:rFonts w:ascii="Calibri" w:hAnsi="Calibri" w:cs="Calibri"/>
          <w:b/>
          <w:bCs/>
        </w:rPr>
      </w:pPr>
    </w:p>
    <w:p w14:paraId="4B55C99C" w14:textId="77777777" w:rsidR="001B1779" w:rsidRDefault="001B1779" w:rsidP="00391180">
      <w:pPr>
        <w:rPr>
          <w:rFonts w:ascii="Calibri" w:hAnsi="Calibri" w:cs="Calibri"/>
          <w:b/>
          <w:bCs/>
        </w:rPr>
      </w:pPr>
    </w:p>
    <w:p w14:paraId="49D37FB4" w14:textId="77777777" w:rsidR="001B1779" w:rsidRDefault="001B1779" w:rsidP="00391180">
      <w:pPr>
        <w:rPr>
          <w:rFonts w:ascii="Calibri" w:hAnsi="Calibri" w:cs="Calibri"/>
          <w:b/>
          <w:bCs/>
        </w:rPr>
      </w:pPr>
    </w:p>
    <w:p w14:paraId="3DB6F25B" w14:textId="77777777" w:rsidR="001B1779" w:rsidRDefault="001B1779" w:rsidP="00391180">
      <w:pPr>
        <w:rPr>
          <w:rFonts w:ascii="Calibri" w:hAnsi="Calibri" w:cs="Calibri"/>
          <w:b/>
          <w:bCs/>
        </w:rPr>
      </w:pPr>
    </w:p>
    <w:p w14:paraId="4B151E26" w14:textId="51D6EFB6" w:rsidR="00CE5C5A" w:rsidRPr="00B071C9" w:rsidRDefault="00CE5C5A" w:rsidP="00391180">
      <w:pPr>
        <w:rPr>
          <w:rFonts w:ascii="Calibri" w:hAnsi="Calibri" w:cs="Calibri"/>
          <w:b/>
          <w:bCs/>
        </w:rPr>
      </w:pPr>
      <w:r>
        <w:rPr>
          <w:rFonts w:ascii="Calibri" w:hAnsi="Calibri" w:cs="Calibri"/>
          <w:b/>
          <w:bCs/>
        </w:rPr>
        <w:t>Podrobná specifikace komponentů a prací nutných k instalaci zboží</w:t>
      </w:r>
    </w:p>
    <w:sectPr w:rsidR="00CE5C5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EAD41" w14:textId="77777777" w:rsidR="00216164" w:rsidRDefault="00216164" w:rsidP="009B0C36">
      <w:r>
        <w:separator/>
      </w:r>
    </w:p>
  </w:endnote>
  <w:endnote w:type="continuationSeparator" w:id="0">
    <w:p w14:paraId="73E91EE5" w14:textId="77777777" w:rsidR="00216164" w:rsidRDefault="00216164"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500BC9E5" w14:textId="61C5B6E8"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0912C4">
          <w:rPr>
            <w:rFonts w:ascii="Calibri" w:hAnsi="Calibri" w:cs="Calibri"/>
            <w:i/>
            <w:iCs/>
            <w:sz w:val="20"/>
            <w:szCs w:val="20"/>
          </w:rPr>
          <w:t>RDG přístroje</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0912C4">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1F90B" w14:textId="77777777" w:rsidR="00216164" w:rsidRDefault="00216164" w:rsidP="009B0C36">
      <w:r>
        <w:separator/>
      </w:r>
    </w:p>
  </w:footnote>
  <w:footnote w:type="continuationSeparator" w:id="0">
    <w:p w14:paraId="49BA5FFC" w14:textId="77777777" w:rsidR="00216164" w:rsidRDefault="00216164"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8F9AD5" w:rsidR="003065ED" w:rsidRPr="00020322" w:rsidRDefault="00454483"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5CC52F9">
          <wp:simplePos x="0" y="0"/>
          <wp:positionH relativeFrom="margin">
            <wp:posOffset>4236089</wp:posOffset>
          </wp:positionH>
          <wp:positionV relativeFrom="paragraph">
            <wp:posOffset>-76503</wp:posOffset>
          </wp:positionV>
          <wp:extent cx="2078027" cy="556592"/>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1139" cy="557425"/>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68DF6ADA">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13114"/>
    <w:rsid w:val="00020322"/>
    <w:rsid w:val="00031235"/>
    <w:rsid w:val="00036D74"/>
    <w:rsid w:val="00050D79"/>
    <w:rsid w:val="00060B76"/>
    <w:rsid w:val="00072EC0"/>
    <w:rsid w:val="000832FE"/>
    <w:rsid w:val="00085A62"/>
    <w:rsid w:val="000912C4"/>
    <w:rsid w:val="00096B62"/>
    <w:rsid w:val="000A0FF3"/>
    <w:rsid w:val="000C2BBF"/>
    <w:rsid w:val="000D3A72"/>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A5DAF"/>
    <w:rsid w:val="001B1779"/>
    <w:rsid w:val="001C35B6"/>
    <w:rsid w:val="001C5CE9"/>
    <w:rsid w:val="001D2B83"/>
    <w:rsid w:val="001E1D60"/>
    <w:rsid w:val="001E6EAF"/>
    <w:rsid w:val="001F163B"/>
    <w:rsid w:val="001F2A9E"/>
    <w:rsid w:val="001F4F58"/>
    <w:rsid w:val="002050D5"/>
    <w:rsid w:val="00207242"/>
    <w:rsid w:val="0021595B"/>
    <w:rsid w:val="00216164"/>
    <w:rsid w:val="00252024"/>
    <w:rsid w:val="00254B7C"/>
    <w:rsid w:val="00276440"/>
    <w:rsid w:val="00284731"/>
    <w:rsid w:val="002960DC"/>
    <w:rsid w:val="002A227A"/>
    <w:rsid w:val="002A5116"/>
    <w:rsid w:val="002B6DB3"/>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444DA"/>
    <w:rsid w:val="00452618"/>
    <w:rsid w:val="00454483"/>
    <w:rsid w:val="0045677B"/>
    <w:rsid w:val="00462F7D"/>
    <w:rsid w:val="00465A4E"/>
    <w:rsid w:val="004756E9"/>
    <w:rsid w:val="00476EFC"/>
    <w:rsid w:val="00494B52"/>
    <w:rsid w:val="004A44B7"/>
    <w:rsid w:val="004A629E"/>
    <w:rsid w:val="004C4A84"/>
    <w:rsid w:val="004D2459"/>
    <w:rsid w:val="004F381C"/>
    <w:rsid w:val="004F6144"/>
    <w:rsid w:val="00503326"/>
    <w:rsid w:val="0053054B"/>
    <w:rsid w:val="00532F40"/>
    <w:rsid w:val="0053456F"/>
    <w:rsid w:val="005479F4"/>
    <w:rsid w:val="00553D41"/>
    <w:rsid w:val="00562475"/>
    <w:rsid w:val="0059677A"/>
    <w:rsid w:val="005A2EFA"/>
    <w:rsid w:val="005B6B38"/>
    <w:rsid w:val="005C1A55"/>
    <w:rsid w:val="005C580D"/>
    <w:rsid w:val="005D13F6"/>
    <w:rsid w:val="005F253D"/>
    <w:rsid w:val="00602896"/>
    <w:rsid w:val="00636C16"/>
    <w:rsid w:val="00691A51"/>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A81"/>
    <w:rsid w:val="00893E5E"/>
    <w:rsid w:val="00896738"/>
    <w:rsid w:val="008A728C"/>
    <w:rsid w:val="008C432C"/>
    <w:rsid w:val="008D1AAD"/>
    <w:rsid w:val="008D6BEF"/>
    <w:rsid w:val="008E76A1"/>
    <w:rsid w:val="008F2185"/>
    <w:rsid w:val="008F356C"/>
    <w:rsid w:val="008F7002"/>
    <w:rsid w:val="00907179"/>
    <w:rsid w:val="009151DB"/>
    <w:rsid w:val="009212FF"/>
    <w:rsid w:val="009250B6"/>
    <w:rsid w:val="0093122C"/>
    <w:rsid w:val="009412F4"/>
    <w:rsid w:val="00944C9E"/>
    <w:rsid w:val="00947296"/>
    <w:rsid w:val="00950EAA"/>
    <w:rsid w:val="00964F90"/>
    <w:rsid w:val="00977058"/>
    <w:rsid w:val="00985AB3"/>
    <w:rsid w:val="00994D9E"/>
    <w:rsid w:val="00996B5D"/>
    <w:rsid w:val="009A5AB0"/>
    <w:rsid w:val="009B0C36"/>
    <w:rsid w:val="009B7886"/>
    <w:rsid w:val="009C4212"/>
    <w:rsid w:val="009C6E46"/>
    <w:rsid w:val="009F261B"/>
    <w:rsid w:val="00A36F2B"/>
    <w:rsid w:val="00A37978"/>
    <w:rsid w:val="00A72C26"/>
    <w:rsid w:val="00A97B84"/>
    <w:rsid w:val="00A97DF3"/>
    <w:rsid w:val="00AA1402"/>
    <w:rsid w:val="00AB34FE"/>
    <w:rsid w:val="00AC1C6A"/>
    <w:rsid w:val="00AE0E9E"/>
    <w:rsid w:val="00AE2B3E"/>
    <w:rsid w:val="00AF367E"/>
    <w:rsid w:val="00B071C9"/>
    <w:rsid w:val="00B10678"/>
    <w:rsid w:val="00B2509B"/>
    <w:rsid w:val="00B60329"/>
    <w:rsid w:val="00B666DA"/>
    <w:rsid w:val="00B72071"/>
    <w:rsid w:val="00B768F5"/>
    <w:rsid w:val="00B774C6"/>
    <w:rsid w:val="00B87A58"/>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E5C5A"/>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0552"/>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099C"/>
    <w:rsid w:val="00F310B2"/>
    <w:rsid w:val="00F514C1"/>
    <w:rsid w:val="00F66A37"/>
    <w:rsid w:val="00F80236"/>
    <w:rsid w:val="00F837E0"/>
    <w:rsid w:val="00F900CD"/>
    <w:rsid w:val="00F96F46"/>
    <w:rsid w:val="00F970BC"/>
    <w:rsid w:val="00FA62C3"/>
    <w:rsid w:val="00FB22DD"/>
    <w:rsid w:val="00FB4FFF"/>
    <w:rsid w:val="00FB7CFB"/>
    <w:rsid w:val="00FC11D8"/>
    <w:rsid w:val="00FD2A74"/>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styleId="Revize">
    <w:name w:val="Revision"/>
    <w:hidden/>
    <w:uiPriority w:val="99"/>
    <w:semiHidden/>
    <w:rsid w:val="004756E9"/>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0164901">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675299631">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3959</Words>
  <Characters>23359</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5</cp:revision>
  <cp:lastPrinted>2018-10-01T07:59:00Z</cp:lastPrinted>
  <dcterms:created xsi:type="dcterms:W3CDTF">2020-07-21T23:22:00Z</dcterms:created>
  <dcterms:modified xsi:type="dcterms:W3CDTF">2020-08-05T16:29:00Z</dcterms:modified>
</cp:coreProperties>
</file>