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75000E">
        <w:rPr>
          <w:rFonts w:asciiTheme="minorHAnsi" w:hAnsiTheme="minorHAnsi" w:cs="Arial"/>
          <w:bCs/>
        </w:rPr>
        <w:t>3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917D48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917D48">
        <w:rPr>
          <w:rFonts w:cs="Calibri"/>
          <w:bCs/>
        </w:rPr>
        <w:t>Elektroultrazvukový přístroj – typ I</w:t>
      </w:r>
      <w:r w:rsidR="0075000E">
        <w:rPr>
          <w:rFonts w:cs="Calibri"/>
          <w:bCs/>
        </w:rPr>
        <w:t>I.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917D4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917D48">
              <w:rPr>
                <w:rFonts w:asciiTheme="minorHAnsi" w:hAnsiTheme="minorHAnsi" w:cs="Arial"/>
                <w:b/>
                <w:sz w:val="28"/>
                <w:szCs w:val="28"/>
              </w:rPr>
              <w:t xml:space="preserve">Elektroultrazvukový přístroj – typ </w:t>
            </w:r>
            <w:r w:rsidR="0075000E"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917D48">
              <w:rPr>
                <w:rFonts w:asciiTheme="minorHAnsi" w:hAnsiTheme="minorHAnsi" w:cs="Arial"/>
                <w:b/>
                <w:sz w:val="28"/>
                <w:szCs w:val="28"/>
              </w:rPr>
              <w:t>I.</w:t>
            </w:r>
            <w:r w:rsidR="00F90CDD">
              <w:rPr>
                <w:rFonts w:asciiTheme="minorHAnsi" w:hAnsiTheme="minorHAnsi" w:cs="Arial"/>
                <w:b/>
                <w:sz w:val="28"/>
                <w:szCs w:val="28"/>
              </w:rPr>
              <w:t xml:space="preserve"> (2 ks Pardubice Rehabilitace)</w:t>
            </w:r>
            <w:bookmarkStart w:id="0" w:name="_GoBack"/>
            <w:bookmarkEnd w:id="0"/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5000E" w:rsidRPr="002476E6" w:rsidTr="00AA4ABA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>
              <w:rPr>
                <w:rFonts w:cs="Arial"/>
              </w:rPr>
              <w:t>Elektroterapeutický přístroj s bezdrátovou technologií</w:t>
            </w:r>
          </w:p>
        </w:tc>
        <w:tc>
          <w:tcPr>
            <w:tcW w:w="1276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AA4ABA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4 kanály</w:t>
            </w:r>
          </w:p>
        </w:tc>
        <w:tc>
          <w:tcPr>
            <w:tcW w:w="1276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ovládací jednotka</w:t>
            </w:r>
          </w:p>
        </w:tc>
        <w:tc>
          <w:tcPr>
            <w:tcW w:w="1276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ovládání v češtině</w:t>
            </w:r>
          </w:p>
        </w:tc>
        <w:tc>
          <w:tcPr>
            <w:tcW w:w="1276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rehabilitační, analgetické, vaskulární terapie, fitness programy</w:t>
            </w:r>
          </w:p>
        </w:tc>
        <w:tc>
          <w:tcPr>
            <w:tcW w:w="1276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Pr="002476E6" w:rsidRDefault="0075000E" w:rsidP="0075000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 xml:space="preserve">kompletní diagnostika 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min. 60 přednastavených programů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lastRenderedPageBreak/>
              <w:t>vyhledávač motorických bodů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dokovací stanice, přenosná taška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tvar impulzu: konstantní pravoúhlý proud s pulzy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maxim</w:t>
            </w:r>
            <w:r w:rsidRPr="00865961">
              <w:rPr>
                <w:rFonts w:cs="Calibri"/>
              </w:rPr>
              <w:t>á</w:t>
            </w:r>
            <w:r w:rsidRPr="00865961">
              <w:rPr>
                <w:rFonts w:cs="Arial"/>
              </w:rPr>
              <w:t>ln</w:t>
            </w:r>
            <w:r w:rsidRPr="00865961">
              <w:rPr>
                <w:rFonts w:cs="Calibri"/>
              </w:rPr>
              <w:t>í</w:t>
            </w:r>
            <w:r w:rsidRPr="00865961">
              <w:rPr>
                <w:rFonts w:cs="Arial"/>
              </w:rPr>
              <w:t xml:space="preserve"> amplituda: 120 mA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intenzita: manu</w:t>
            </w:r>
            <w:r w:rsidRPr="00865961">
              <w:rPr>
                <w:rFonts w:cs="Calibri"/>
              </w:rPr>
              <w:t>á</w:t>
            </w:r>
            <w:r w:rsidRPr="00865961">
              <w:rPr>
                <w:rFonts w:cs="Arial"/>
              </w:rPr>
              <w:t>ln</w:t>
            </w:r>
            <w:r w:rsidRPr="00865961">
              <w:rPr>
                <w:rFonts w:cs="Calibri"/>
              </w:rPr>
              <w:t>í</w:t>
            </w:r>
            <w:r w:rsidRPr="00865961">
              <w:rPr>
                <w:rFonts w:cs="Arial"/>
              </w:rPr>
              <w:t xml:space="preserve"> nastaven</w:t>
            </w:r>
            <w:r w:rsidRPr="00865961">
              <w:rPr>
                <w:rFonts w:cs="Calibri"/>
              </w:rPr>
              <w:t>í</w:t>
            </w:r>
            <w:r w:rsidRPr="00865961">
              <w:rPr>
                <w:rFonts w:cs="Arial"/>
              </w:rPr>
              <w:t xml:space="preserve"> </w:t>
            </w:r>
            <w:r w:rsidRPr="00865961">
              <w:rPr>
                <w:rFonts w:cs="Calibri"/>
              </w:rPr>
              <w:t>–</w:t>
            </w:r>
            <w:r w:rsidRPr="00865961">
              <w:rPr>
                <w:rFonts w:cs="Arial"/>
              </w:rPr>
              <w:t xml:space="preserve"> zvy</w:t>
            </w:r>
            <w:r w:rsidRPr="00865961">
              <w:rPr>
                <w:rFonts w:cs="Calibri"/>
              </w:rPr>
              <w:t>š</w:t>
            </w:r>
            <w:r w:rsidRPr="00865961">
              <w:rPr>
                <w:rFonts w:cs="Arial"/>
              </w:rPr>
              <w:t>ov</w:t>
            </w:r>
            <w:r w:rsidRPr="00865961">
              <w:rPr>
                <w:rFonts w:cs="Calibri"/>
              </w:rPr>
              <w:t>á</w:t>
            </w:r>
            <w:r w:rsidRPr="00865961">
              <w:rPr>
                <w:rFonts w:cs="Arial"/>
              </w:rPr>
              <w:t>n</w:t>
            </w:r>
            <w:r w:rsidRPr="00865961">
              <w:rPr>
                <w:rFonts w:cs="Calibri"/>
              </w:rPr>
              <w:t>í</w:t>
            </w:r>
            <w:r w:rsidRPr="00865961">
              <w:rPr>
                <w:rFonts w:cs="Arial"/>
              </w:rPr>
              <w:t xml:space="preserve"> po 0,25 mA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trv</w:t>
            </w:r>
            <w:r w:rsidRPr="00865961">
              <w:rPr>
                <w:rFonts w:cs="Calibri"/>
              </w:rPr>
              <w:t>á</w:t>
            </w:r>
            <w:r w:rsidRPr="00865961">
              <w:rPr>
                <w:rFonts w:cs="Arial"/>
              </w:rPr>
              <w:t>n</w:t>
            </w:r>
            <w:r w:rsidRPr="00865961">
              <w:rPr>
                <w:rFonts w:cs="Calibri"/>
              </w:rPr>
              <w:t>í</w:t>
            </w:r>
            <w:r w:rsidRPr="00865961">
              <w:rPr>
                <w:rFonts w:cs="Arial"/>
              </w:rPr>
              <w:t xml:space="preserve"> pulzu/</w:t>
            </w:r>
            <w:r w:rsidRPr="00865961">
              <w:rPr>
                <w:rFonts w:cs="Calibri"/>
              </w:rPr>
              <w:t>šíř</w:t>
            </w:r>
            <w:r w:rsidRPr="00865961">
              <w:rPr>
                <w:rFonts w:cs="Arial"/>
              </w:rPr>
              <w:t>ka</w:t>
            </w:r>
            <w:r>
              <w:rPr>
                <w:rFonts w:cs="Arial"/>
              </w:rPr>
              <w:t xml:space="preserve"> v rozmezí min.</w:t>
            </w:r>
            <w:r w:rsidRPr="00865961">
              <w:rPr>
                <w:rFonts w:cs="Arial"/>
              </w:rPr>
              <w:t xml:space="preserve"> 30 </w:t>
            </w:r>
            <w:r w:rsidRPr="00865961">
              <w:rPr>
                <w:rFonts w:cs="Calibri"/>
              </w:rPr>
              <w:t>–</w:t>
            </w:r>
            <w:r w:rsidRPr="00865961">
              <w:rPr>
                <w:rFonts w:cs="Arial"/>
              </w:rPr>
              <w:t xml:space="preserve"> 1000 </w:t>
            </w:r>
            <w:r w:rsidRPr="00865961">
              <w:rPr>
                <w:rFonts w:cs="Calibri"/>
              </w:rPr>
              <w:t>µ</w:t>
            </w:r>
            <w:r w:rsidRPr="00865961">
              <w:rPr>
                <w:rFonts w:cs="Arial"/>
              </w:rPr>
              <w:t>s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000E" w:rsidRPr="002476E6" w:rsidTr="00866000">
        <w:tc>
          <w:tcPr>
            <w:tcW w:w="4536" w:type="dxa"/>
          </w:tcPr>
          <w:p w:rsidR="0075000E" w:rsidRPr="00865961" w:rsidRDefault="0075000E" w:rsidP="0075000E">
            <w:pPr>
              <w:shd w:val="clear" w:color="auto" w:fill="FFFFFF"/>
              <w:spacing w:before="100" w:beforeAutospacing="1" w:after="100" w:afterAutospacing="1" w:line="384" w:lineRule="atLeast"/>
              <w:rPr>
                <w:rFonts w:cs="Arial"/>
              </w:rPr>
            </w:pPr>
            <w:r w:rsidRPr="00865961">
              <w:rPr>
                <w:rFonts w:cs="Arial"/>
              </w:rPr>
              <w:t>frekvence: 1-150 Hz</w:t>
            </w:r>
          </w:p>
        </w:tc>
        <w:tc>
          <w:tcPr>
            <w:tcW w:w="1276" w:type="dxa"/>
            <w:vAlign w:val="center"/>
          </w:tcPr>
          <w:p w:rsidR="0075000E" w:rsidRDefault="0075000E" w:rsidP="0075000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000E" w:rsidRDefault="0075000E" w:rsidP="0075000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000E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25BE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0CDD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A90C51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FF185-DB9B-41C3-8709-91D66C23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2628</Characters>
  <Application>Microsoft Office Word</Application>
  <DocSecurity>0</DocSecurity>
  <Lines>138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4</cp:revision>
  <dcterms:created xsi:type="dcterms:W3CDTF">2020-04-28T10:26:00Z</dcterms:created>
  <dcterms:modified xsi:type="dcterms:W3CDTF">2020-04-28T10:53:00Z</dcterms:modified>
</cp:coreProperties>
</file>