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A15F97" w:rsidRDefault="00A15F97" w:rsidP="00FF05AB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15F97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Pr="00A15F97">
              <w:rPr>
                <w:rFonts w:ascii="Arial" w:hAnsi="Arial"/>
                <w:b/>
                <w:sz w:val="36"/>
                <w:szCs w:val="36"/>
              </w:rPr>
              <w:t>Dělostřelecká tvrz Bouda – nezbytné stavební úpravy</w:t>
            </w:r>
            <w:r w:rsidR="008F453F">
              <w:rPr>
                <w:rFonts w:ascii="Arial" w:hAnsi="Arial"/>
                <w:b/>
                <w:sz w:val="36"/>
                <w:szCs w:val="36"/>
              </w:rPr>
              <w:t>, potřetí</w:t>
            </w:r>
            <w:bookmarkStart w:id="0" w:name="_GoBack"/>
            <w:bookmarkEnd w:id="0"/>
            <w:r w:rsidRPr="00A15F97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“ </w:t>
            </w:r>
          </w:p>
          <w:p w:rsidR="00BC0110" w:rsidRPr="00B959BA" w:rsidRDefault="00D461B8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P20V00000001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453F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5F97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0117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1B8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5ECC-A1DD-4CA2-BF2E-781B547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178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Hron Jaroslav Ing.</cp:lastModifiedBy>
  <cp:revision>6</cp:revision>
  <cp:lastPrinted>2019-11-18T15:47:00Z</cp:lastPrinted>
  <dcterms:created xsi:type="dcterms:W3CDTF">2019-04-17T07:07:00Z</dcterms:created>
  <dcterms:modified xsi:type="dcterms:W3CDTF">2020-05-05T08:10:00Z</dcterms:modified>
</cp:coreProperties>
</file>