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148E2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BD5F4C6" w14:textId="77777777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</w:t>
      </w:r>
    </w:p>
    <w:p w14:paraId="4A1C0E45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315C4BB4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3CD0FBAD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3853FA09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08ABEB1D" w14:textId="072D7E12" w:rsidR="0073070F" w:rsidRPr="00F16700" w:rsidRDefault="000931FD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proofErr w:type="spellStart"/>
      <w:r>
        <w:rPr>
          <w:rFonts w:ascii="Calibri" w:hAnsi="Calibri" w:cs="Arial"/>
          <w:b/>
          <w:sz w:val="32"/>
          <w:szCs w:val="32"/>
        </w:rPr>
        <w:t>Kardiotokograf</w:t>
      </w:r>
      <w:proofErr w:type="spellEnd"/>
      <w:r>
        <w:rPr>
          <w:rFonts w:ascii="Calibri" w:hAnsi="Calibri" w:cs="Arial"/>
          <w:b/>
          <w:sz w:val="32"/>
          <w:szCs w:val="32"/>
        </w:rPr>
        <w:t xml:space="preserve"> s telemetrií</w:t>
      </w:r>
    </w:p>
    <w:p w14:paraId="466761B8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71CB3CD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732A7EC9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404ED18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2AC88F65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B31D262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2617AE">
        <w:rPr>
          <w:rFonts w:ascii="Calibri" w:hAnsi="Calibri"/>
          <w:sz w:val="22"/>
          <w:szCs w:val="22"/>
        </w:rPr>
        <w:t>.</w:t>
      </w:r>
    </w:p>
    <w:p w14:paraId="7160D862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2B5A1F43" w14:textId="77777777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3B6E2A54" w14:textId="77777777" w:rsidR="00654188" w:rsidRPr="00654188" w:rsidRDefault="00654188" w:rsidP="00654188">
      <w:pPr>
        <w:rPr>
          <w:lang w:eastAsia="en-US"/>
        </w:rPr>
      </w:pPr>
    </w:p>
    <w:p w14:paraId="0C5A9BF4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5A2922C0" w14:textId="77777777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0B1DA567" w14:textId="77777777"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0B5F1805" w14:textId="6D80CF55" w:rsidR="00600F8C" w:rsidRPr="00393D63" w:rsidRDefault="00532E8A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8"/>
                <w:szCs w:val="28"/>
              </w:rPr>
              <w:t>Kardioto</w:t>
            </w:r>
            <w:r w:rsidR="000931FD">
              <w:rPr>
                <w:rFonts w:asciiTheme="minorHAnsi" w:hAnsiTheme="minorHAnsi" w:cs="Arial"/>
                <w:b/>
                <w:sz w:val="28"/>
                <w:szCs w:val="28"/>
              </w:rPr>
              <w:t>ko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graf</w:t>
            </w:r>
            <w:proofErr w:type="spellEnd"/>
            <w:r w:rsidR="00393D63"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– </w:t>
            </w:r>
            <w:r w:rsidR="000669D8"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="00393D63"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54188" w:rsidRPr="00654188" w14:paraId="6F9ECBBB" w14:textId="77777777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7726FCA8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2DB7C23A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7DA2F505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16700" w:rsidRPr="00C10A7D" w14:paraId="64703ED7" w14:textId="77777777" w:rsidTr="000B179B">
        <w:tc>
          <w:tcPr>
            <w:tcW w:w="4536" w:type="dxa"/>
            <w:vAlign w:val="center"/>
          </w:tcPr>
          <w:p w14:paraId="39FABC25" w14:textId="77777777" w:rsidR="00F16700" w:rsidRPr="002617AE" w:rsidRDefault="00DC262E" w:rsidP="00DC262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Intrapartální</w:t>
            </w:r>
            <w:proofErr w:type="spellEnd"/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fetální monitor </w:t>
            </w:r>
          </w:p>
        </w:tc>
        <w:tc>
          <w:tcPr>
            <w:tcW w:w="1276" w:type="dxa"/>
            <w:vAlign w:val="center"/>
          </w:tcPr>
          <w:p w14:paraId="6310B0FB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626959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14:paraId="7693D7A8" w14:textId="77777777" w:rsidTr="000B179B">
        <w:tc>
          <w:tcPr>
            <w:tcW w:w="4536" w:type="dxa"/>
            <w:vAlign w:val="center"/>
          </w:tcPr>
          <w:p w14:paraId="4127B132" w14:textId="77777777" w:rsidR="00F16700" w:rsidRPr="002617AE" w:rsidRDefault="00DC262E" w:rsidP="00DC262E">
            <w:pPr>
              <w:spacing w:after="160" w:line="259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Min. 6“ LCD displej s dotykovým ovládáním</w:t>
            </w:r>
          </w:p>
        </w:tc>
        <w:tc>
          <w:tcPr>
            <w:tcW w:w="1276" w:type="dxa"/>
            <w:vAlign w:val="center"/>
          </w:tcPr>
          <w:p w14:paraId="2AC5A501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57E908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14:paraId="6648AF6F" w14:textId="77777777" w:rsidTr="000B179B">
        <w:tc>
          <w:tcPr>
            <w:tcW w:w="4536" w:type="dxa"/>
            <w:vAlign w:val="center"/>
          </w:tcPr>
          <w:p w14:paraId="20C53CB2" w14:textId="77777777" w:rsidR="00F16700" w:rsidRPr="002617AE" w:rsidRDefault="00DC262E" w:rsidP="00DC262E">
            <w:pPr>
              <w:spacing w:after="160" w:line="259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Ovládání v českém jazyce </w:t>
            </w:r>
          </w:p>
        </w:tc>
        <w:tc>
          <w:tcPr>
            <w:tcW w:w="1276" w:type="dxa"/>
            <w:vAlign w:val="center"/>
          </w:tcPr>
          <w:p w14:paraId="49B64B76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79BCB0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14:paraId="7C5CA886" w14:textId="77777777" w:rsidTr="000B179B">
        <w:tc>
          <w:tcPr>
            <w:tcW w:w="4536" w:type="dxa"/>
            <w:vAlign w:val="center"/>
          </w:tcPr>
          <w:p w14:paraId="0D7F2D23" w14:textId="77777777" w:rsidR="00F16700" w:rsidRPr="002617AE" w:rsidRDefault="00DC262E" w:rsidP="000669D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Snímání Srdeční frekvence plodu – US sonda</w:t>
            </w:r>
          </w:p>
        </w:tc>
        <w:tc>
          <w:tcPr>
            <w:tcW w:w="1276" w:type="dxa"/>
            <w:vAlign w:val="center"/>
          </w:tcPr>
          <w:p w14:paraId="62F35C33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24EB1E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14:paraId="30CEFCFC" w14:textId="77777777" w:rsidTr="000B179B">
        <w:tc>
          <w:tcPr>
            <w:tcW w:w="4536" w:type="dxa"/>
            <w:vAlign w:val="center"/>
          </w:tcPr>
          <w:p w14:paraId="09BA1997" w14:textId="77777777" w:rsidR="00F16700" w:rsidRPr="002617AE" w:rsidRDefault="00DC262E" w:rsidP="00DC262E">
            <w:pPr>
              <w:spacing w:after="160" w:line="259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Monitorování děložních stahů – TOCO sonda </w:t>
            </w:r>
          </w:p>
        </w:tc>
        <w:tc>
          <w:tcPr>
            <w:tcW w:w="1276" w:type="dxa"/>
            <w:vAlign w:val="center"/>
          </w:tcPr>
          <w:p w14:paraId="4374618A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2CEC100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14:paraId="4C81517B" w14:textId="77777777" w:rsidTr="004006C4">
        <w:trPr>
          <w:trHeight w:val="677"/>
        </w:trPr>
        <w:tc>
          <w:tcPr>
            <w:tcW w:w="4536" w:type="dxa"/>
            <w:vAlign w:val="center"/>
          </w:tcPr>
          <w:p w14:paraId="0FCC1D2D" w14:textId="77777777" w:rsidR="00F16700" w:rsidRPr="002617AE" w:rsidRDefault="00DC262E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Přímé monitorování srdeční frekvence plodu – </w:t>
            </w:r>
            <w:proofErr w:type="spellStart"/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skalpová</w:t>
            </w:r>
            <w:proofErr w:type="spellEnd"/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elektroda</w:t>
            </w:r>
          </w:p>
        </w:tc>
        <w:tc>
          <w:tcPr>
            <w:tcW w:w="1276" w:type="dxa"/>
            <w:vAlign w:val="center"/>
          </w:tcPr>
          <w:p w14:paraId="248801B8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B6B66E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14:paraId="67FA050F" w14:textId="77777777" w:rsidTr="000B179B">
        <w:tc>
          <w:tcPr>
            <w:tcW w:w="4536" w:type="dxa"/>
            <w:vAlign w:val="center"/>
          </w:tcPr>
          <w:p w14:paraId="181FCC61" w14:textId="77777777" w:rsidR="00F16700" w:rsidRPr="002617AE" w:rsidRDefault="00DC262E" w:rsidP="00DC262E">
            <w:pPr>
              <w:spacing w:after="160" w:line="259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Přímé měření nitroděložního tlaku </w:t>
            </w:r>
          </w:p>
        </w:tc>
        <w:tc>
          <w:tcPr>
            <w:tcW w:w="1276" w:type="dxa"/>
            <w:vAlign w:val="center"/>
          </w:tcPr>
          <w:p w14:paraId="16F05FE9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E9C29BD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14:paraId="443E50D1" w14:textId="77777777" w:rsidTr="000B179B">
        <w:tc>
          <w:tcPr>
            <w:tcW w:w="4536" w:type="dxa"/>
            <w:vAlign w:val="center"/>
          </w:tcPr>
          <w:p w14:paraId="7DA102A3" w14:textId="77777777" w:rsidR="00F16700" w:rsidRPr="002617AE" w:rsidRDefault="00DC262E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SW pro snímání dvojčat – aktivace připojením druhé US sondy</w:t>
            </w:r>
          </w:p>
        </w:tc>
        <w:tc>
          <w:tcPr>
            <w:tcW w:w="1276" w:type="dxa"/>
            <w:vAlign w:val="center"/>
          </w:tcPr>
          <w:p w14:paraId="24EF2087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BF9185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14:paraId="62BD0664" w14:textId="77777777" w:rsidTr="000B179B">
        <w:tc>
          <w:tcPr>
            <w:tcW w:w="4536" w:type="dxa"/>
            <w:vAlign w:val="center"/>
          </w:tcPr>
          <w:p w14:paraId="25AF2FEE" w14:textId="77777777" w:rsidR="00F16700" w:rsidRPr="002617AE" w:rsidRDefault="00DC262E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Puls matky snímaný z TOCO sondy</w:t>
            </w:r>
          </w:p>
        </w:tc>
        <w:tc>
          <w:tcPr>
            <w:tcW w:w="1276" w:type="dxa"/>
            <w:vAlign w:val="center"/>
          </w:tcPr>
          <w:p w14:paraId="4CCE744F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50D30B" w14:textId="77777777"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14:paraId="7714D6A1" w14:textId="77777777" w:rsidTr="000B179B">
        <w:tc>
          <w:tcPr>
            <w:tcW w:w="4536" w:type="dxa"/>
            <w:vAlign w:val="center"/>
          </w:tcPr>
          <w:p w14:paraId="08AB096A" w14:textId="77777777" w:rsidR="00F16700" w:rsidRPr="002617AE" w:rsidRDefault="00DC262E" w:rsidP="000669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Monitorování NIBP a SpO2 matky</w:t>
            </w:r>
          </w:p>
        </w:tc>
        <w:tc>
          <w:tcPr>
            <w:tcW w:w="1276" w:type="dxa"/>
            <w:vAlign w:val="center"/>
          </w:tcPr>
          <w:p w14:paraId="2494EE3E" w14:textId="77777777" w:rsidR="00F16700" w:rsidRPr="002476E6" w:rsidRDefault="006028C9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08485FC" w14:textId="77777777" w:rsidR="00F16700" w:rsidRPr="002476E6" w:rsidRDefault="006028C9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bookmarkStart w:id="0" w:name="_GoBack"/>
        <w:bookmarkEnd w:id="0"/>
      </w:tr>
      <w:tr w:rsidR="004006C4" w:rsidRPr="002476E6" w14:paraId="19AF0F7A" w14:textId="77777777" w:rsidTr="000B179B">
        <w:tc>
          <w:tcPr>
            <w:tcW w:w="4536" w:type="dxa"/>
            <w:vAlign w:val="center"/>
          </w:tcPr>
          <w:p w14:paraId="757AE6A2" w14:textId="77777777" w:rsidR="004006C4" w:rsidRPr="002617AE" w:rsidRDefault="00DC262E" w:rsidP="00DC262E">
            <w:pPr>
              <w:spacing w:after="160" w:line="259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lastRenderedPageBreak/>
              <w:t>Automatická detekce pohybu plodů</w:t>
            </w:r>
          </w:p>
        </w:tc>
        <w:tc>
          <w:tcPr>
            <w:tcW w:w="1276" w:type="dxa"/>
            <w:vAlign w:val="center"/>
          </w:tcPr>
          <w:p w14:paraId="06EEBBE2" w14:textId="77777777"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AA774A" w14:textId="77777777"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14:paraId="7BB1459E" w14:textId="77777777" w:rsidTr="000B179B">
        <w:tc>
          <w:tcPr>
            <w:tcW w:w="4536" w:type="dxa"/>
            <w:vAlign w:val="center"/>
          </w:tcPr>
          <w:p w14:paraId="6BF17AA2" w14:textId="77777777" w:rsidR="004006C4" w:rsidRPr="002617AE" w:rsidRDefault="00DC262E" w:rsidP="000669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Verifikace kanálů mezi plody a mezi matkou a plody</w:t>
            </w:r>
          </w:p>
        </w:tc>
        <w:tc>
          <w:tcPr>
            <w:tcW w:w="1276" w:type="dxa"/>
            <w:vAlign w:val="center"/>
          </w:tcPr>
          <w:p w14:paraId="29FA8559" w14:textId="77777777"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ADA81C6" w14:textId="77777777"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14:paraId="09E25BE3" w14:textId="77777777" w:rsidTr="000B179B">
        <w:tc>
          <w:tcPr>
            <w:tcW w:w="4536" w:type="dxa"/>
            <w:vAlign w:val="center"/>
          </w:tcPr>
          <w:p w14:paraId="5AC8C38B" w14:textId="77777777" w:rsidR="004006C4" w:rsidRPr="002617AE" w:rsidRDefault="00DC262E" w:rsidP="00DC262E">
            <w:pPr>
              <w:spacing w:after="160" w:line="259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Voděodolné sondy s identifikací, která sonda </w:t>
            </w:r>
            <w:proofErr w:type="gramStart"/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přenáší</w:t>
            </w:r>
            <w:proofErr w:type="gramEnd"/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kterou srdeční frekvenci </w:t>
            </w:r>
          </w:p>
        </w:tc>
        <w:tc>
          <w:tcPr>
            <w:tcW w:w="1276" w:type="dxa"/>
            <w:vAlign w:val="center"/>
          </w:tcPr>
          <w:p w14:paraId="6302A328" w14:textId="77777777"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3A1270" w14:textId="77777777"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69D8" w:rsidRPr="002476E6" w14:paraId="0EA4FB53" w14:textId="77777777" w:rsidTr="000B179B">
        <w:tc>
          <w:tcPr>
            <w:tcW w:w="4536" w:type="dxa"/>
            <w:vAlign w:val="center"/>
          </w:tcPr>
          <w:p w14:paraId="4BEBB70E" w14:textId="77777777" w:rsidR="000669D8" w:rsidRPr="002617AE" w:rsidRDefault="00DC262E" w:rsidP="000669D8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Možnost zadání pacientských dat, možnost vkládání předem definovaných poznámek do záznamu</w:t>
            </w:r>
          </w:p>
        </w:tc>
        <w:tc>
          <w:tcPr>
            <w:tcW w:w="1276" w:type="dxa"/>
            <w:vAlign w:val="center"/>
          </w:tcPr>
          <w:p w14:paraId="2CDA78A4" w14:textId="77777777" w:rsidR="000669D8" w:rsidRPr="002476E6" w:rsidRDefault="000669D8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52FC46" w14:textId="77777777" w:rsidR="000669D8" w:rsidRPr="002476E6" w:rsidRDefault="000669D8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3F30AA7A" w14:textId="77777777" w:rsidTr="002617AE">
        <w:tc>
          <w:tcPr>
            <w:tcW w:w="4536" w:type="dxa"/>
            <w:vAlign w:val="center"/>
          </w:tcPr>
          <w:p w14:paraId="6A4A5639" w14:textId="77777777" w:rsidR="002617AE" w:rsidRPr="002617AE" w:rsidRDefault="002617AE" w:rsidP="002617AE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Nastavitelné alarmy měřených parametrů včetně hlasitosti</w:t>
            </w:r>
          </w:p>
        </w:tc>
        <w:tc>
          <w:tcPr>
            <w:tcW w:w="1276" w:type="dxa"/>
            <w:vAlign w:val="center"/>
          </w:tcPr>
          <w:p w14:paraId="40DAB5F4" w14:textId="77777777" w:rsidR="002617AE" w:rsidRDefault="002617AE" w:rsidP="002617AE">
            <w:pPr>
              <w:jc w:val="center"/>
            </w:pPr>
            <w:r w:rsidRPr="004F4A37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83250A" w14:textId="77777777" w:rsidR="002617AE" w:rsidRDefault="002617AE" w:rsidP="002617AE">
            <w:pPr>
              <w:jc w:val="center"/>
            </w:pPr>
            <w:r w:rsidRPr="00D62D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2DF91000" w14:textId="77777777" w:rsidTr="002617AE">
        <w:tc>
          <w:tcPr>
            <w:tcW w:w="4536" w:type="dxa"/>
            <w:vAlign w:val="center"/>
          </w:tcPr>
          <w:p w14:paraId="4908ECDA" w14:textId="77777777" w:rsidR="002617AE" w:rsidRPr="002617AE" w:rsidRDefault="002617AE" w:rsidP="002617AE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Regulovatelná hlasitost ozev tepové frekvence plodu</w:t>
            </w:r>
          </w:p>
        </w:tc>
        <w:tc>
          <w:tcPr>
            <w:tcW w:w="1276" w:type="dxa"/>
            <w:vAlign w:val="center"/>
          </w:tcPr>
          <w:p w14:paraId="76733B90" w14:textId="77777777" w:rsidR="002617AE" w:rsidRDefault="002617AE" w:rsidP="002617AE">
            <w:pPr>
              <w:jc w:val="center"/>
            </w:pPr>
            <w:r w:rsidRPr="004F4A37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DC0F162" w14:textId="77777777" w:rsidR="002617AE" w:rsidRDefault="002617AE" w:rsidP="002617AE">
            <w:pPr>
              <w:jc w:val="center"/>
            </w:pPr>
            <w:r w:rsidRPr="00D62D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454EBE38" w14:textId="77777777" w:rsidTr="002617AE">
        <w:tc>
          <w:tcPr>
            <w:tcW w:w="4536" w:type="dxa"/>
            <w:vAlign w:val="center"/>
          </w:tcPr>
          <w:p w14:paraId="46E789D8" w14:textId="77777777" w:rsidR="002617AE" w:rsidRPr="002617AE" w:rsidRDefault="002617AE" w:rsidP="002617AE">
            <w:pPr>
              <w:spacing w:after="160" w:line="259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Zapisovač: </w:t>
            </w:r>
          </w:p>
        </w:tc>
        <w:tc>
          <w:tcPr>
            <w:tcW w:w="1276" w:type="dxa"/>
            <w:vAlign w:val="center"/>
          </w:tcPr>
          <w:p w14:paraId="3BA00600" w14:textId="77777777" w:rsidR="002617AE" w:rsidRDefault="002617AE" w:rsidP="002617AE">
            <w:pPr>
              <w:jc w:val="center"/>
            </w:pPr>
            <w:r w:rsidRPr="004F4A37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5130260" w14:textId="77777777" w:rsidR="002617AE" w:rsidRDefault="002617AE" w:rsidP="002617AE">
            <w:pPr>
              <w:jc w:val="center"/>
            </w:pPr>
            <w:r w:rsidRPr="00D62D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4FB7E6BF" w14:textId="77777777" w:rsidTr="002617AE">
        <w:tc>
          <w:tcPr>
            <w:tcW w:w="4536" w:type="dxa"/>
            <w:vAlign w:val="center"/>
          </w:tcPr>
          <w:p w14:paraId="78E43DA9" w14:textId="77777777" w:rsidR="002617AE" w:rsidRPr="00283A3C" w:rsidRDefault="002617AE" w:rsidP="00283A3C">
            <w:pPr>
              <w:pStyle w:val="Odstavecseseznamem"/>
              <w:widowControl w:val="0"/>
              <w:numPr>
                <w:ilvl w:val="0"/>
                <w:numId w:val="16"/>
              </w:numPr>
              <w:ind w:left="462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83A3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Tisk záznamu na termopapír, nastavitelná rychlost (1,2,3 cm/min.)</w:t>
            </w:r>
          </w:p>
        </w:tc>
        <w:tc>
          <w:tcPr>
            <w:tcW w:w="1276" w:type="dxa"/>
            <w:vAlign w:val="center"/>
          </w:tcPr>
          <w:p w14:paraId="671E7BFF" w14:textId="77777777" w:rsidR="002617AE" w:rsidRDefault="002617AE" w:rsidP="002617AE">
            <w:pPr>
              <w:jc w:val="center"/>
            </w:pPr>
            <w:r w:rsidRPr="004F4A37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87CC5E" w14:textId="77777777" w:rsidR="002617AE" w:rsidRDefault="002617AE" w:rsidP="002617AE">
            <w:pPr>
              <w:jc w:val="center"/>
            </w:pPr>
            <w:r w:rsidRPr="00D62D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1A46C4DC" w14:textId="77777777" w:rsidTr="002617AE">
        <w:tc>
          <w:tcPr>
            <w:tcW w:w="4536" w:type="dxa"/>
            <w:vAlign w:val="center"/>
          </w:tcPr>
          <w:p w14:paraId="5D1C1ADB" w14:textId="77777777" w:rsidR="002617AE" w:rsidRPr="00283A3C" w:rsidRDefault="002617AE" w:rsidP="00283A3C">
            <w:pPr>
              <w:pStyle w:val="Odstavecseseznamem"/>
              <w:numPr>
                <w:ilvl w:val="1"/>
                <w:numId w:val="15"/>
              </w:numPr>
              <w:tabs>
                <w:tab w:val="left" w:pos="255"/>
              </w:tabs>
              <w:spacing w:after="160" w:line="259" w:lineRule="auto"/>
              <w:ind w:left="462" w:hanging="283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283A3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Nastavitelný časovač záznamu</w:t>
            </w:r>
          </w:p>
        </w:tc>
        <w:tc>
          <w:tcPr>
            <w:tcW w:w="1276" w:type="dxa"/>
            <w:vAlign w:val="center"/>
          </w:tcPr>
          <w:p w14:paraId="1A3F2BDD" w14:textId="77777777" w:rsidR="002617AE" w:rsidRDefault="002617AE" w:rsidP="002617AE">
            <w:pPr>
              <w:jc w:val="center"/>
            </w:pPr>
            <w:r w:rsidRPr="004F4A37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826AC5" w14:textId="77777777" w:rsidR="002617AE" w:rsidRDefault="002617AE" w:rsidP="002617AE">
            <w:pPr>
              <w:jc w:val="center"/>
            </w:pPr>
            <w:r w:rsidRPr="00D62D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5C82A504" w14:textId="77777777" w:rsidTr="002617AE">
        <w:tc>
          <w:tcPr>
            <w:tcW w:w="4536" w:type="dxa"/>
            <w:vAlign w:val="center"/>
          </w:tcPr>
          <w:p w14:paraId="27FAF5BA" w14:textId="77777777" w:rsidR="002617AE" w:rsidRPr="00283A3C" w:rsidRDefault="002617AE" w:rsidP="00283A3C">
            <w:pPr>
              <w:pStyle w:val="Odstavecseseznamem"/>
              <w:numPr>
                <w:ilvl w:val="1"/>
                <w:numId w:val="15"/>
              </w:numPr>
              <w:spacing w:after="160" w:line="259" w:lineRule="auto"/>
              <w:ind w:left="462" w:hanging="283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283A3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Zápis do paměti – možnost dotisku v případě nedostatku papíru </w:t>
            </w:r>
          </w:p>
        </w:tc>
        <w:tc>
          <w:tcPr>
            <w:tcW w:w="1276" w:type="dxa"/>
            <w:vAlign w:val="center"/>
          </w:tcPr>
          <w:p w14:paraId="61B1B730" w14:textId="77777777" w:rsidR="002617AE" w:rsidRDefault="002617AE" w:rsidP="002617AE">
            <w:pPr>
              <w:jc w:val="center"/>
            </w:pPr>
            <w:r w:rsidRPr="004F4A37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CD8560" w14:textId="77777777" w:rsidR="002617AE" w:rsidRDefault="002617AE" w:rsidP="002617AE">
            <w:pPr>
              <w:jc w:val="center"/>
            </w:pPr>
            <w:r w:rsidRPr="00D62D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7C4CE643" w14:textId="77777777" w:rsidTr="002617AE">
        <w:tc>
          <w:tcPr>
            <w:tcW w:w="4536" w:type="dxa"/>
            <w:vAlign w:val="center"/>
          </w:tcPr>
          <w:p w14:paraId="1B016F16" w14:textId="77777777" w:rsidR="002617AE" w:rsidRPr="002617AE" w:rsidRDefault="002617AE" w:rsidP="002617AE">
            <w:pPr>
              <w:spacing w:after="160" w:line="259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Možnost výměny sond se stávajícími </w:t>
            </w:r>
            <w:proofErr w:type="spellStart"/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kardiotokografy</w:t>
            </w:r>
            <w:proofErr w:type="spellEnd"/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Avalon</w:t>
            </w:r>
            <w:proofErr w:type="spellEnd"/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na pracovišti </w:t>
            </w:r>
          </w:p>
        </w:tc>
        <w:tc>
          <w:tcPr>
            <w:tcW w:w="1276" w:type="dxa"/>
            <w:vAlign w:val="center"/>
          </w:tcPr>
          <w:p w14:paraId="210F504C" w14:textId="77777777" w:rsidR="002617AE" w:rsidRDefault="002617AE" w:rsidP="002617AE">
            <w:pPr>
              <w:jc w:val="center"/>
            </w:pPr>
            <w:r w:rsidRPr="004F4A37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3883B04" w14:textId="77777777" w:rsidR="002617AE" w:rsidRDefault="002617AE" w:rsidP="002617AE">
            <w:pPr>
              <w:jc w:val="center"/>
            </w:pPr>
            <w:r w:rsidRPr="00D62D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4E983B60" w14:textId="77777777" w:rsidTr="002617AE">
        <w:tc>
          <w:tcPr>
            <w:tcW w:w="4536" w:type="dxa"/>
            <w:vAlign w:val="center"/>
          </w:tcPr>
          <w:p w14:paraId="2D2A8211" w14:textId="77777777" w:rsidR="002617AE" w:rsidRPr="002617AE" w:rsidRDefault="002617AE" w:rsidP="002617AE">
            <w:pPr>
              <w:spacing w:after="160" w:line="259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Rozšíření o protokol NST </w:t>
            </w:r>
          </w:p>
        </w:tc>
        <w:tc>
          <w:tcPr>
            <w:tcW w:w="1276" w:type="dxa"/>
            <w:vAlign w:val="center"/>
          </w:tcPr>
          <w:p w14:paraId="52CC850A" w14:textId="77777777" w:rsidR="002617AE" w:rsidRDefault="002617AE" w:rsidP="002617AE">
            <w:pPr>
              <w:jc w:val="center"/>
            </w:pPr>
            <w:r w:rsidRPr="004F4A37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18B9B0" w14:textId="77777777" w:rsidR="002617AE" w:rsidRDefault="002617AE" w:rsidP="002617AE">
            <w:pPr>
              <w:jc w:val="center"/>
            </w:pPr>
            <w:r w:rsidRPr="00D62D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40B7B108" w14:textId="77777777" w:rsidTr="002617AE">
        <w:tc>
          <w:tcPr>
            <w:tcW w:w="4536" w:type="dxa"/>
            <w:vAlign w:val="center"/>
          </w:tcPr>
          <w:p w14:paraId="412AB2AF" w14:textId="77777777" w:rsidR="002617AE" w:rsidRPr="002617AE" w:rsidRDefault="002617AE" w:rsidP="002617AE">
            <w:pPr>
              <w:spacing w:after="160" w:line="259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C26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Vozík se zásuvkami</w:t>
            </w:r>
          </w:p>
        </w:tc>
        <w:tc>
          <w:tcPr>
            <w:tcW w:w="1276" w:type="dxa"/>
            <w:vAlign w:val="center"/>
          </w:tcPr>
          <w:p w14:paraId="1E15B121" w14:textId="77777777" w:rsidR="002617AE" w:rsidRDefault="002617AE" w:rsidP="002617AE">
            <w:pPr>
              <w:jc w:val="center"/>
            </w:pPr>
            <w:r w:rsidRPr="004F4A37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138F264" w14:textId="77777777" w:rsidR="002617AE" w:rsidRDefault="002617AE" w:rsidP="002617AE">
            <w:pPr>
              <w:jc w:val="center"/>
            </w:pPr>
            <w:r w:rsidRPr="00D62D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620F5D6A" w14:textId="77777777" w:rsidR="0065447C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2617AE" w:rsidRPr="00654188" w14:paraId="4C9F8E45" w14:textId="77777777" w:rsidTr="002617AE">
        <w:trPr>
          <w:trHeight w:val="387"/>
          <w:tblHeader/>
        </w:trPr>
        <w:tc>
          <w:tcPr>
            <w:tcW w:w="4536" w:type="dxa"/>
            <w:shd w:val="clear" w:color="auto" w:fill="C5E0B3" w:themeFill="accent6" w:themeFillTint="66"/>
            <w:vAlign w:val="center"/>
          </w:tcPr>
          <w:p w14:paraId="027F9FBA" w14:textId="77777777" w:rsidR="002617AE" w:rsidRPr="00393D63" w:rsidRDefault="002617AE" w:rsidP="003006A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C5E0B3" w:themeFill="accent6" w:themeFillTint="66"/>
            <w:vAlign w:val="center"/>
          </w:tcPr>
          <w:p w14:paraId="751F4B7A" w14:textId="77777777" w:rsidR="002617AE" w:rsidRPr="00393D63" w:rsidRDefault="002617AE" w:rsidP="003006A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617AE">
              <w:rPr>
                <w:rFonts w:asciiTheme="minorHAnsi" w:hAnsiTheme="minorHAnsi" w:cs="Arial"/>
                <w:b/>
                <w:sz w:val="28"/>
                <w:szCs w:val="28"/>
              </w:rPr>
              <w:t>Bezdrátová monitorovací jednotka</w:t>
            </w:r>
            <w:r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–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2617AE" w:rsidRPr="00654188" w14:paraId="6AE8C28E" w14:textId="77777777" w:rsidTr="003006A2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2021BCB8" w14:textId="77777777" w:rsidR="002617AE" w:rsidRPr="000B3193" w:rsidRDefault="002617AE" w:rsidP="003006A2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4951958B" w14:textId="77777777" w:rsidR="002617AE" w:rsidRPr="00600F8C" w:rsidRDefault="002617AE" w:rsidP="003006A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59E2BFE6" w14:textId="77777777" w:rsidR="002617AE" w:rsidRPr="00600F8C" w:rsidRDefault="002617AE" w:rsidP="003006A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617AE" w:rsidRPr="00C10A7D" w14:paraId="130C82A9" w14:textId="77777777" w:rsidTr="003006A2">
        <w:tc>
          <w:tcPr>
            <w:tcW w:w="4536" w:type="dxa"/>
            <w:vAlign w:val="center"/>
          </w:tcPr>
          <w:p w14:paraId="7E7C9FEB" w14:textId="77777777" w:rsidR="002617AE" w:rsidRPr="002617AE" w:rsidRDefault="002617AE" w:rsidP="002617AE">
            <w:pPr>
              <w:pStyle w:val="Bezmezer"/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lang w:eastAsia="cs-CZ"/>
              </w:rPr>
            </w:pPr>
            <w:r w:rsidRPr="002617AE">
              <w:rPr>
                <w:rFonts w:eastAsia="Times New Roman"/>
                <w:lang w:eastAsia="cs-CZ"/>
              </w:rPr>
              <w:t>Externí i interní monitorování plodu a neinvazivní monitorování matky</w:t>
            </w:r>
          </w:p>
        </w:tc>
        <w:tc>
          <w:tcPr>
            <w:tcW w:w="1276" w:type="dxa"/>
            <w:vAlign w:val="center"/>
          </w:tcPr>
          <w:p w14:paraId="0E0FEE97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440BFD8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C10A7D" w14:paraId="34C71ACC" w14:textId="77777777" w:rsidTr="003006A2">
        <w:tc>
          <w:tcPr>
            <w:tcW w:w="4536" w:type="dxa"/>
            <w:vAlign w:val="center"/>
          </w:tcPr>
          <w:p w14:paraId="61FD41EB" w14:textId="77777777" w:rsidR="002617AE" w:rsidRPr="002617AE" w:rsidRDefault="002617AE" w:rsidP="003006A2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>2x US sonda – monitorování srdeční frekvence plodu dvojčat</w:t>
            </w:r>
          </w:p>
        </w:tc>
        <w:tc>
          <w:tcPr>
            <w:tcW w:w="1276" w:type="dxa"/>
            <w:vAlign w:val="center"/>
          </w:tcPr>
          <w:p w14:paraId="4BD6BADF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CBE970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C10A7D" w14:paraId="4C16C59F" w14:textId="77777777" w:rsidTr="003006A2">
        <w:tc>
          <w:tcPr>
            <w:tcW w:w="4536" w:type="dxa"/>
            <w:vAlign w:val="center"/>
          </w:tcPr>
          <w:p w14:paraId="555BC4EC" w14:textId="77777777" w:rsidR="002617AE" w:rsidRPr="002617AE" w:rsidRDefault="002617AE" w:rsidP="003006A2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 xml:space="preserve">1x TOCO sonda – monitorování děložních stahů a pulzu matky, možnost připojení </w:t>
            </w:r>
            <w:proofErr w:type="spellStart"/>
            <w:r w:rsidRPr="002617AE">
              <w:rPr>
                <w:rFonts w:ascii="Calibri" w:hAnsi="Calibri" w:cs="Calibri"/>
                <w:sz w:val="22"/>
                <w:szCs w:val="22"/>
              </w:rPr>
              <w:t>skalpové</w:t>
            </w:r>
            <w:proofErr w:type="spellEnd"/>
            <w:r w:rsidRPr="002617AE">
              <w:rPr>
                <w:rFonts w:ascii="Calibri" w:hAnsi="Calibri" w:cs="Calibri"/>
                <w:sz w:val="22"/>
                <w:szCs w:val="22"/>
              </w:rPr>
              <w:t xml:space="preserve"> elektrody </w:t>
            </w:r>
          </w:p>
        </w:tc>
        <w:tc>
          <w:tcPr>
            <w:tcW w:w="1276" w:type="dxa"/>
            <w:vAlign w:val="center"/>
          </w:tcPr>
          <w:p w14:paraId="3C9E7025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411030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C10A7D" w14:paraId="2A03C319" w14:textId="77777777" w:rsidTr="003006A2">
        <w:tc>
          <w:tcPr>
            <w:tcW w:w="4536" w:type="dxa"/>
            <w:vAlign w:val="center"/>
          </w:tcPr>
          <w:p w14:paraId="20A849D8" w14:textId="77777777" w:rsidR="002617AE" w:rsidRPr="002617AE" w:rsidRDefault="002617AE" w:rsidP="003006A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Voděodolné bezdrátové a </w:t>
            </w:r>
            <w:proofErr w:type="spellStart"/>
            <w:r w:rsidRPr="002617AE">
              <w:rPr>
                <w:rFonts w:ascii="Calibri" w:hAnsi="Calibri" w:cs="Calibri"/>
                <w:sz w:val="22"/>
                <w:szCs w:val="22"/>
              </w:rPr>
              <w:t>bezkabelové</w:t>
            </w:r>
            <w:proofErr w:type="spellEnd"/>
            <w:r w:rsidRPr="002617AE">
              <w:rPr>
                <w:rFonts w:ascii="Calibri" w:hAnsi="Calibri" w:cs="Calibri"/>
                <w:sz w:val="22"/>
                <w:szCs w:val="22"/>
              </w:rPr>
              <w:t xml:space="preserve"> sondy – možnost monitorování pod vodou (IP68)</w:t>
            </w:r>
          </w:p>
        </w:tc>
        <w:tc>
          <w:tcPr>
            <w:tcW w:w="1276" w:type="dxa"/>
            <w:vAlign w:val="center"/>
          </w:tcPr>
          <w:p w14:paraId="73259837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4D7164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C10A7D" w14:paraId="6BE1DFBE" w14:textId="77777777" w:rsidTr="003006A2">
        <w:tc>
          <w:tcPr>
            <w:tcW w:w="4536" w:type="dxa"/>
            <w:vAlign w:val="center"/>
          </w:tcPr>
          <w:p w14:paraId="6D6071A4" w14:textId="77777777" w:rsidR="002617AE" w:rsidRPr="002617AE" w:rsidRDefault="002617AE" w:rsidP="002617AE">
            <w:pPr>
              <w:pStyle w:val="Bezmezer"/>
              <w:spacing w:after="160" w:line="259" w:lineRule="auto"/>
              <w:contextualSpacing/>
              <w:rPr>
                <w:rFonts w:eastAsia="Times New Roman"/>
                <w:lang w:eastAsia="cs-CZ"/>
              </w:rPr>
            </w:pPr>
            <w:r w:rsidRPr="002617AE">
              <w:rPr>
                <w:rFonts w:eastAsia="Times New Roman"/>
                <w:lang w:eastAsia="cs-CZ"/>
              </w:rPr>
              <w:t>Funkce přivolání chodící pacientky pomocí zvukového signálu vydávaného bezdrátovým snímačem</w:t>
            </w:r>
          </w:p>
        </w:tc>
        <w:tc>
          <w:tcPr>
            <w:tcW w:w="1276" w:type="dxa"/>
            <w:vAlign w:val="center"/>
          </w:tcPr>
          <w:p w14:paraId="27F49F6F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E952CBA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C10A7D" w14:paraId="4C7865F1" w14:textId="77777777" w:rsidTr="003006A2">
        <w:trPr>
          <w:trHeight w:val="677"/>
        </w:trPr>
        <w:tc>
          <w:tcPr>
            <w:tcW w:w="4536" w:type="dxa"/>
            <w:vAlign w:val="center"/>
          </w:tcPr>
          <w:p w14:paraId="535165BF" w14:textId="77777777" w:rsidR="002617AE" w:rsidRPr="002617AE" w:rsidRDefault="002617AE" w:rsidP="002617AE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 xml:space="preserve">Funkce upozornění chodící pacientky pomocí zvukového signálu vydávaného bezdrátovým snímačem, že dosáhla meze aktivního signálu </w:t>
            </w:r>
          </w:p>
        </w:tc>
        <w:tc>
          <w:tcPr>
            <w:tcW w:w="1276" w:type="dxa"/>
            <w:vAlign w:val="center"/>
          </w:tcPr>
          <w:p w14:paraId="74B9359D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04AB117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C10A7D" w14:paraId="02BC7923" w14:textId="77777777" w:rsidTr="003006A2">
        <w:tc>
          <w:tcPr>
            <w:tcW w:w="4536" w:type="dxa"/>
            <w:vAlign w:val="center"/>
          </w:tcPr>
          <w:p w14:paraId="41EBBD4C" w14:textId="77777777" w:rsidR="002617AE" w:rsidRPr="002617AE" w:rsidRDefault="002617AE" w:rsidP="003006A2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 xml:space="preserve">LED ukazatel na sondě indikuje stav baterie a stav připojení sondy k základní stanici </w:t>
            </w:r>
          </w:p>
        </w:tc>
        <w:tc>
          <w:tcPr>
            <w:tcW w:w="1276" w:type="dxa"/>
            <w:vAlign w:val="center"/>
          </w:tcPr>
          <w:p w14:paraId="0BC9E04F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AEE60D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C10A7D" w14:paraId="5253E51B" w14:textId="77777777" w:rsidTr="003006A2">
        <w:tc>
          <w:tcPr>
            <w:tcW w:w="4536" w:type="dxa"/>
            <w:vAlign w:val="center"/>
          </w:tcPr>
          <w:p w14:paraId="137FE339" w14:textId="77777777" w:rsidR="002617AE" w:rsidRPr="002617AE" w:rsidRDefault="002617AE" w:rsidP="002617AE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>Kapacita baterie v sondách min. 8 hodin monitorování</w:t>
            </w:r>
          </w:p>
        </w:tc>
        <w:tc>
          <w:tcPr>
            <w:tcW w:w="1276" w:type="dxa"/>
            <w:vAlign w:val="center"/>
          </w:tcPr>
          <w:p w14:paraId="2C3CBB55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0EB6A25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25A9B2C8" w14:textId="77777777" w:rsidTr="003006A2">
        <w:tc>
          <w:tcPr>
            <w:tcW w:w="4536" w:type="dxa"/>
            <w:vAlign w:val="center"/>
          </w:tcPr>
          <w:p w14:paraId="77892A93" w14:textId="77777777" w:rsidR="002617AE" w:rsidRPr="002617AE" w:rsidRDefault="002617AE" w:rsidP="002617AE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 xml:space="preserve">Indikátor vybití baterie – upozornění 30 min. před vybitím baterie </w:t>
            </w:r>
          </w:p>
        </w:tc>
        <w:tc>
          <w:tcPr>
            <w:tcW w:w="1276" w:type="dxa"/>
            <w:vAlign w:val="center"/>
          </w:tcPr>
          <w:p w14:paraId="64334D93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F33EA21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5D75F0A4" w14:textId="77777777" w:rsidTr="003006A2">
        <w:tc>
          <w:tcPr>
            <w:tcW w:w="4536" w:type="dxa"/>
            <w:vAlign w:val="center"/>
          </w:tcPr>
          <w:p w14:paraId="7A3C5E5F" w14:textId="77777777" w:rsidR="002617AE" w:rsidRPr="002617AE" w:rsidRDefault="002617AE" w:rsidP="002617AE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>Doba nabíjení sond: max. 3 hod</w:t>
            </w:r>
          </w:p>
        </w:tc>
        <w:tc>
          <w:tcPr>
            <w:tcW w:w="1276" w:type="dxa"/>
            <w:vAlign w:val="center"/>
          </w:tcPr>
          <w:p w14:paraId="78FD59CB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6AC78B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49D4E11B" w14:textId="77777777" w:rsidTr="003006A2">
        <w:tc>
          <w:tcPr>
            <w:tcW w:w="4536" w:type="dxa"/>
            <w:vAlign w:val="center"/>
          </w:tcPr>
          <w:p w14:paraId="109DB8EB" w14:textId="77777777" w:rsidR="002617AE" w:rsidRPr="002617AE" w:rsidRDefault="002617AE" w:rsidP="003006A2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>Možnost výměny baterií v sondách uživatelem</w:t>
            </w:r>
          </w:p>
        </w:tc>
        <w:tc>
          <w:tcPr>
            <w:tcW w:w="1276" w:type="dxa"/>
            <w:vAlign w:val="center"/>
          </w:tcPr>
          <w:p w14:paraId="0DCBD415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93F2C2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4E6B02F6" w14:textId="77777777" w:rsidTr="003006A2">
        <w:tc>
          <w:tcPr>
            <w:tcW w:w="4536" w:type="dxa"/>
            <w:vAlign w:val="center"/>
          </w:tcPr>
          <w:p w14:paraId="06CCA07A" w14:textId="77777777" w:rsidR="002617AE" w:rsidRPr="002617AE" w:rsidRDefault="002617AE" w:rsidP="002617AE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 xml:space="preserve">Identifikace sondy prostřednictvím základní stanice </w:t>
            </w:r>
          </w:p>
        </w:tc>
        <w:tc>
          <w:tcPr>
            <w:tcW w:w="1276" w:type="dxa"/>
            <w:vAlign w:val="center"/>
          </w:tcPr>
          <w:p w14:paraId="73352FB9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74D061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77270832" w14:textId="77777777" w:rsidTr="003006A2">
        <w:tc>
          <w:tcPr>
            <w:tcW w:w="4536" w:type="dxa"/>
            <w:vAlign w:val="center"/>
          </w:tcPr>
          <w:p w14:paraId="7A5D7C84" w14:textId="77777777" w:rsidR="002617AE" w:rsidRPr="002617AE" w:rsidRDefault="002617AE" w:rsidP="003006A2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 xml:space="preserve">Základní jednotka přijímá signál a dobíjí baterie telemetrických sond </w:t>
            </w:r>
          </w:p>
        </w:tc>
        <w:tc>
          <w:tcPr>
            <w:tcW w:w="1276" w:type="dxa"/>
            <w:vAlign w:val="center"/>
          </w:tcPr>
          <w:p w14:paraId="6F7EDC65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DA060D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617AE" w:rsidRPr="002476E6" w14:paraId="57E2A583" w14:textId="77777777" w:rsidTr="003006A2">
        <w:tc>
          <w:tcPr>
            <w:tcW w:w="4536" w:type="dxa"/>
            <w:vAlign w:val="center"/>
          </w:tcPr>
          <w:p w14:paraId="2F726086" w14:textId="77777777" w:rsidR="002617AE" w:rsidRPr="002617AE" w:rsidRDefault="002617AE" w:rsidP="002617AE">
            <w:pPr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17AE">
              <w:rPr>
                <w:rFonts w:ascii="Calibri" w:hAnsi="Calibri" w:cs="Calibri"/>
                <w:sz w:val="22"/>
                <w:szCs w:val="22"/>
              </w:rPr>
              <w:t xml:space="preserve">Bezdrátová jednotka kompatibilní s dodávaným </w:t>
            </w:r>
            <w:proofErr w:type="spellStart"/>
            <w:r w:rsidRPr="002617AE">
              <w:rPr>
                <w:rFonts w:ascii="Calibri" w:hAnsi="Calibri" w:cs="Calibri"/>
                <w:sz w:val="22"/>
                <w:szCs w:val="22"/>
              </w:rPr>
              <w:t>kardiotokografem</w:t>
            </w:r>
            <w:proofErr w:type="spellEnd"/>
            <w:r w:rsidRPr="002617AE">
              <w:rPr>
                <w:rFonts w:ascii="Calibri" w:hAnsi="Calibri" w:cs="Calibri"/>
                <w:sz w:val="22"/>
                <w:szCs w:val="22"/>
              </w:rPr>
              <w:t xml:space="preserve"> i s </w:t>
            </w:r>
            <w:proofErr w:type="spellStart"/>
            <w:r w:rsidRPr="002617AE">
              <w:rPr>
                <w:rFonts w:ascii="Calibri" w:hAnsi="Calibri" w:cs="Calibri"/>
                <w:sz w:val="22"/>
                <w:szCs w:val="22"/>
              </w:rPr>
              <w:t>kardiotokografy</w:t>
            </w:r>
            <w:proofErr w:type="spellEnd"/>
            <w:r w:rsidRPr="002617A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617AE">
              <w:rPr>
                <w:rFonts w:ascii="Calibri" w:hAnsi="Calibri" w:cs="Calibri"/>
                <w:sz w:val="22"/>
                <w:szCs w:val="22"/>
              </w:rPr>
              <w:t>Avalon</w:t>
            </w:r>
            <w:proofErr w:type="spellEnd"/>
            <w:r w:rsidRPr="002617AE">
              <w:rPr>
                <w:rFonts w:ascii="Calibri" w:hAnsi="Calibri" w:cs="Calibri"/>
                <w:sz w:val="22"/>
                <w:szCs w:val="22"/>
              </w:rPr>
              <w:t xml:space="preserve"> na pracovišti</w:t>
            </w:r>
          </w:p>
        </w:tc>
        <w:tc>
          <w:tcPr>
            <w:tcW w:w="1276" w:type="dxa"/>
            <w:vAlign w:val="center"/>
          </w:tcPr>
          <w:p w14:paraId="51EDBFFB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8EAEF14" w14:textId="77777777" w:rsidR="002617AE" w:rsidRPr="002476E6" w:rsidRDefault="002617AE" w:rsidP="003006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F464DD" w14:textId="77777777" w:rsidR="002617AE" w:rsidRDefault="002617AE" w:rsidP="002617AE">
      <w:pPr>
        <w:rPr>
          <w:lang w:eastAsia="en-US"/>
        </w:rPr>
      </w:pPr>
    </w:p>
    <w:p w14:paraId="36CE36B2" w14:textId="77777777" w:rsidR="002617AE" w:rsidRPr="002617AE" w:rsidRDefault="002617AE" w:rsidP="002617AE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0BB0B94B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20151E49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537A544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912843">
              <w:rPr>
                <w:rFonts w:eastAsia="Times New Roman" w:cs="Times New Roman"/>
                <w:lang w:eastAsia="cs-CZ"/>
              </w:rPr>
              <w:t xml:space="preserve"> společné pro všechny přístroje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22CC1E3C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6D71C06" w14:textId="77777777" w:rsidTr="0065447C">
        <w:trPr>
          <w:jc w:val="center"/>
        </w:trPr>
        <w:tc>
          <w:tcPr>
            <w:tcW w:w="7797" w:type="dxa"/>
            <w:vAlign w:val="center"/>
          </w:tcPr>
          <w:p w14:paraId="15C12F64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2F43CB32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71257434" w14:textId="77777777" w:rsidTr="0065447C">
        <w:trPr>
          <w:jc w:val="center"/>
        </w:trPr>
        <w:tc>
          <w:tcPr>
            <w:tcW w:w="7797" w:type="dxa"/>
            <w:vAlign w:val="center"/>
          </w:tcPr>
          <w:p w14:paraId="155AEA60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5BDE1055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5F7E216E" w14:textId="77777777" w:rsidTr="0065447C">
        <w:trPr>
          <w:jc w:val="center"/>
        </w:trPr>
        <w:tc>
          <w:tcPr>
            <w:tcW w:w="7797" w:type="dxa"/>
            <w:vAlign w:val="center"/>
          </w:tcPr>
          <w:p w14:paraId="44E7DB3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DD27FD1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1605AC1" w14:textId="77777777" w:rsidTr="0065447C">
        <w:trPr>
          <w:jc w:val="center"/>
        </w:trPr>
        <w:tc>
          <w:tcPr>
            <w:tcW w:w="7797" w:type="dxa"/>
            <w:vAlign w:val="center"/>
          </w:tcPr>
          <w:p w14:paraId="04D5751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0BFAD8EB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5AF1DBF0" w14:textId="77777777" w:rsidTr="0065447C">
        <w:trPr>
          <w:jc w:val="center"/>
        </w:trPr>
        <w:tc>
          <w:tcPr>
            <w:tcW w:w="7797" w:type="dxa"/>
            <w:vAlign w:val="center"/>
          </w:tcPr>
          <w:p w14:paraId="58867E78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3AAEB210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888EEC2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0B8F7503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19889A02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83C4C83" w14:textId="77777777" w:rsidR="0065447C" w:rsidRDefault="0065447C" w:rsidP="00912843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8BA32" w14:textId="77777777" w:rsidR="006466FD" w:rsidRDefault="006466FD">
      <w:r>
        <w:separator/>
      </w:r>
    </w:p>
  </w:endnote>
  <w:endnote w:type="continuationSeparator" w:id="0">
    <w:p w14:paraId="66745458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3D3F7BFB" w14:textId="66D20A45"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 xml:space="preserve">Název projektu: „Modernizace </w:t>
        </w:r>
        <w:r w:rsidR="000931FD">
          <w:rPr>
            <w:rFonts w:ascii="Calibri" w:hAnsi="Calibri" w:cs="Calibri"/>
            <w:szCs w:val="20"/>
          </w:rPr>
          <w:t xml:space="preserve">různých </w:t>
        </w:r>
        <w:r w:rsidRPr="00CA2983">
          <w:rPr>
            <w:rFonts w:ascii="Calibri" w:hAnsi="Calibri" w:cs="Calibri"/>
            <w:szCs w:val="20"/>
          </w:rPr>
          <w:t xml:space="preserve">přístrojů a vybavení“, </w:t>
        </w:r>
      </w:p>
      <w:p w14:paraId="4784225A" w14:textId="5CF57FA2"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0931FD">
          <w:rPr>
            <w:rFonts w:ascii="Calibri" w:hAnsi="Calibri" w:cs="Calibri"/>
            <w:szCs w:val="20"/>
          </w:rPr>
          <w:t>51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14:paraId="3326AC31" w14:textId="77777777" w:rsidR="00CA2983" w:rsidRDefault="00CA2983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>
          <w:rPr>
            <w:b/>
            <w:szCs w:val="20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A890F1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A5973" w14:textId="77777777" w:rsidR="006466FD" w:rsidRDefault="006466FD">
      <w:r>
        <w:separator/>
      </w:r>
    </w:p>
  </w:footnote>
  <w:footnote w:type="continuationSeparator" w:id="0">
    <w:p w14:paraId="61190535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E7AB8" w14:textId="77777777"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23A217" wp14:editId="6F0E2106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0C15C6C3" wp14:editId="3A76E9C0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D2868"/>
    <w:multiLevelType w:val="hybridMultilevel"/>
    <w:tmpl w:val="D646C0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63BF0"/>
    <w:multiLevelType w:val="hybridMultilevel"/>
    <w:tmpl w:val="76BA4FF6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22295"/>
    <w:multiLevelType w:val="hybridMultilevel"/>
    <w:tmpl w:val="6A8A9A98"/>
    <w:lvl w:ilvl="0" w:tplc="EA4263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5B447A"/>
    <w:multiLevelType w:val="hybridMultilevel"/>
    <w:tmpl w:val="8FE4B2A2"/>
    <w:lvl w:ilvl="0" w:tplc="1C86B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5"/>
  </w:num>
  <w:num w:numId="5">
    <w:abstractNumId w:val="3"/>
  </w:num>
  <w:num w:numId="6">
    <w:abstractNumId w:val="6"/>
  </w:num>
  <w:num w:numId="7">
    <w:abstractNumId w:val="6"/>
  </w:num>
  <w:num w:numId="8">
    <w:abstractNumId w:val="12"/>
  </w:num>
  <w:num w:numId="9">
    <w:abstractNumId w:val="2"/>
  </w:num>
  <w:num w:numId="10">
    <w:abstractNumId w:val="9"/>
  </w:num>
  <w:num w:numId="11">
    <w:abstractNumId w:val="8"/>
  </w:num>
  <w:num w:numId="12">
    <w:abstractNumId w:val="11"/>
  </w:num>
  <w:num w:numId="13">
    <w:abstractNumId w:val="13"/>
  </w:num>
  <w:num w:numId="14">
    <w:abstractNumId w:val="7"/>
  </w:num>
  <w:num w:numId="15">
    <w:abstractNumId w:val="4"/>
  </w:num>
  <w:num w:numId="1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669D8"/>
    <w:rsid w:val="00074528"/>
    <w:rsid w:val="0008758E"/>
    <w:rsid w:val="000931FD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66FF6"/>
    <w:rsid w:val="001770B9"/>
    <w:rsid w:val="00191ADF"/>
    <w:rsid w:val="00197A5B"/>
    <w:rsid w:val="001D1372"/>
    <w:rsid w:val="001E427D"/>
    <w:rsid w:val="001F2952"/>
    <w:rsid w:val="00205EE2"/>
    <w:rsid w:val="00214C1D"/>
    <w:rsid w:val="002210AA"/>
    <w:rsid w:val="002476E6"/>
    <w:rsid w:val="002617AE"/>
    <w:rsid w:val="00280A80"/>
    <w:rsid w:val="00283A3C"/>
    <w:rsid w:val="002B39F1"/>
    <w:rsid w:val="002C543B"/>
    <w:rsid w:val="002C5A20"/>
    <w:rsid w:val="002D0847"/>
    <w:rsid w:val="00303205"/>
    <w:rsid w:val="003846F9"/>
    <w:rsid w:val="00390C8C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A4E84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32E8A"/>
    <w:rsid w:val="0054515C"/>
    <w:rsid w:val="0056576E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7650B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85D17"/>
    <w:rsid w:val="008B1CD4"/>
    <w:rsid w:val="008E1D92"/>
    <w:rsid w:val="00907E39"/>
    <w:rsid w:val="00912843"/>
    <w:rsid w:val="009673F6"/>
    <w:rsid w:val="00985725"/>
    <w:rsid w:val="0098671F"/>
    <w:rsid w:val="009B4E45"/>
    <w:rsid w:val="009E189C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101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0A54"/>
    <w:rsid w:val="00D62E8D"/>
    <w:rsid w:val="00D70BF0"/>
    <w:rsid w:val="00D72049"/>
    <w:rsid w:val="00D963DD"/>
    <w:rsid w:val="00DA57E0"/>
    <w:rsid w:val="00DC262E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06BF8F3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90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0C8C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0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0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0C8C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49A03-57D3-49D7-9BA1-D96799652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820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33</cp:revision>
  <dcterms:created xsi:type="dcterms:W3CDTF">2019-04-09T06:42:00Z</dcterms:created>
  <dcterms:modified xsi:type="dcterms:W3CDTF">2020-02-10T14:58:00Z</dcterms:modified>
</cp:coreProperties>
</file>