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A76CF" w14:textId="6BD8CE6A" w:rsidR="00730B59" w:rsidRPr="00BE049D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BE049D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E049D" w:rsidRPr="00BE049D">
        <w:rPr>
          <w:rFonts w:asciiTheme="minorHAnsi" w:hAnsiTheme="minorHAnsi" w:cs="Arial"/>
          <w:b/>
          <w:sz w:val="28"/>
          <w:szCs w:val="28"/>
        </w:rPr>
        <w:t>4</w:t>
      </w:r>
      <w:r w:rsidRPr="00BE049D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BE049D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2B80A904" w:rsidR="00930EE0" w:rsidRPr="00DB5738" w:rsidRDefault="00265224" w:rsidP="00730B59">
      <w:pPr>
        <w:ind w:right="-24"/>
        <w:rPr>
          <w:rStyle w:val="datalabel"/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7866C2" w:rsidRPr="00132CAA">
        <w:rPr>
          <w:rFonts w:asciiTheme="minorHAnsi" w:hAnsiTheme="minorHAnsi" w:cs="Arial"/>
          <w:b/>
        </w:rPr>
        <w:t>„</w:t>
      </w:r>
      <w:r w:rsidR="007866C2" w:rsidRPr="00132CAA">
        <w:rPr>
          <w:rStyle w:val="datalabel"/>
          <w:rFonts w:asciiTheme="minorHAnsi" w:hAnsiTheme="minorHAnsi"/>
          <w:b/>
        </w:rPr>
        <w:t xml:space="preserve">Realizace úspor energie - </w:t>
      </w:r>
      <w:r w:rsidR="007866C2" w:rsidRPr="00F0709F">
        <w:rPr>
          <w:rFonts w:asciiTheme="minorHAnsi" w:hAnsiTheme="minorHAnsi"/>
          <w:b/>
        </w:rPr>
        <w:t>ISŠ Moravská Třebová, budova dílen J. K. Tyla</w:t>
      </w:r>
      <w:r w:rsidR="007866C2">
        <w:rPr>
          <w:rFonts w:asciiTheme="minorHAnsi" w:hAnsiTheme="minorHAnsi"/>
          <w:b/>
        </w:rPr>
        <w:t xml:space="preserve"> </w:t>
      </w:r>
      <w:r w:rsidR="007866C2" w:rsidRPr="00132CAA">
        <w:rPr>
          <w:rFonts w:asciiTheme="minorHAnsi" w:hAnsiTheme="minorHAnsi" w:cs="Arial"/>
          <w:b/>
        </w:rPr>
        <w:t>“ a ,,</w:t>
      </w:r>
      <w:r w:rsidR="007866C2" w:rsidRPr="00132CAA">
        <w:rPr>
          <w:rStyle w:val="datalabel"/>
          <w:rFonts w:asciiTheme="minorHAnsi" w:hAnsiTheme="minorHAnsi"/>
          <w:b/>
        </w:rPr>
        <w:t xml:space="preserve">Realizace úspor energie </w:t>
      </w:r>
      <w:r w:rsidR="007866C2" w:rsidRPr="00F0709F">
        <w:rPr>
          <w:rStyle w:val="datalabel"/>
          <w:rFonts w:asciiTheme="minorHAnsi" w:hAnsiTheme="minorHAnsi"/>
          <w:b/>
        </w:rPr>
        <w:t xml:space="preserve">- </w:t>
      </w:r>
      <w:r w:rsidR="007866C2" w:rsidRPr="00F0709F">
        <w:rPr>
          <w:rFonts w:asciiTheme="minorHAnsi" w:hAnsiTheme="minorHAnsi"/>
          <w:b/>
        </w:rPr>
        <w:t>ISŠ Moravská Třebová, budova dílen J. K. Tyla</w:t>
      </w:r>
      <w:r w:rsidR="007866C2">
        <w:t xml:space="preserve"> </w:t>
      </w:r>
      <w:r w:rsidR="007866C2">
        <w:rPr>
          <w:rStyle w:val="datalabel"/>
          <w:rFonts w:asciiTheme="minorHAnsi" w:hAnsiTheme="minorHAnsi"/>
          <w:b/>
        </w:rPr>
        <w:t>- rekuperace</w:t>
      </w:r>
      <w:r w:rsidR="007866C2" w:rsidRPr="00132CAA">
        <w:rPr>
          <w:rStyle w:val="datalabel"/>
          <w:rFonts w:asciiTheme="minorHAnsi" w:hAnsiTheme="minorHAnsi"/>
          <w:b/>
        </w:rPr>
        <w:t>“</w:t>
      </w:r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4FB658F9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590161" w:rsidRPr="00DB5738">
        <w:rPr>
          <w:rFonts w:asciiTheme="minorHAnsi" w:hAnsiTheme="minorHAnsi" w:cs="Arial"/>
          <w:b/>
        </w:rPr>
        <w:t>„100</w:t>
      </w:r>
      <w:r w:rsidRPr="00DB5738">
        <w:rPr>
          <w:rFonts w:asciiTheme="minorHAnsi" w:hAnsiTheme="minorHAnsi" w:cs="Arial"/>
          <w:b/>
        </w:rPr>
        <w:t>“</w:t>
      </w:r>
    </w:p>
    <w:p w14:paraId="0C705FFC" w14:textId="77777777"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5168B8D9" w:rsidR="00730B59" w:rsidRPr="000D4CC0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0D4CC0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0D4CC0">
        <w:rPr>
          <w:rFonts w:asciiTheme="minorHAnsi" w:hAnsiTheme="minorHAnsi"/>
        </w:rPr>
        <w:t xml:space="preserve">í (dále jen OPŽP) s názvem: </w:t>
      </w:r>
      <w:r w:rsidR="000D4CC0" w:rsidRPr="000D4CC0">
        <w:rPr>
          <w:rFonts w:asciiTheme="minorHAnsi" w:hAnsiTheme="minorHAnsi"/>
        </w:rPr>
        <w:t xml:space="preserve">Faktura č.1 </w:t>
      </w:r>
      <w:r w:rsidR="007866C2" w:rsidRPr="00F0709F">
        <w:rPr>
          <w:rFonts w:asciiTheme="minorHAnsi" w:hAnsiTheme="minorHAnsi" w:cs="Arial"/>
        </w:rPr>
        <w:t>„</w:t>
      </w:r>
      <w:r w:rsidR="007866C2" w:rsidRPr="00F0709F">
        <w:rPr>
          <w:rStyle w:val="datalabel"/>
          <w:rFonts w:asciiTheme="minorHAnsi" w:hAnsiTheme="minorHAnsi"/>
        </w:rPr>
        <w:t xml:space="preserve">Realizace úspor energie - </w:t>
      </w:r>
      <w:r w:rsidR="007866C2" w:rsidRPr="00F0709F">
        <w:rPr>
          <w:rFonts w:asciiTheme="minorHAnsi" w:hAnsiTheme="minorHAnsi"/>
        </w:rPr>
        <w:t xml:space="preserve">ISŠ Moravská Třebová, budova dílen J. K. Tyla </w:t>
      </w:r>
      <w:r w:rsidR="007866C2" w:rsidRPr="00F0709F">
        <w:rPr>
          <w:rFonts w:asciiTheme="minorHAnsi" w:hAnsiTheme="minorHAnsi" w:cs="Arial"/>
        </w:rPr>
        <w:t>“</w:t>
      </w:r>
      <w:r w:rsidR="007866C2" w:rsidRPr="00132CAA">
        <w:rPr>
          <w:rFonts w:asciiTheme="minorHAnsi" w:hAnsiTheme="minorHAnsi" w:cs="Arial"/>
          <w:b/>
        </w:rPr>
        <w:t xml:space="preserve"> </w:t>
      </w:r>
      <w:r w:rsidR="007866C2" w:rsidRPr="00953BFE">
        <w:rPr>
          <w:rFonts w:asciiTheme="minorHAnsi" w:hAnsiTheme="minorHAnsi"/>
        </w:rPr>
        <w:t xml:space="preserve">s registračním číslem projektu </w:t>
      </w:r>
      <w:r w:rsidR="007866C2" w:rsidRPr="00F0709F">
        <w:rPr>
          <w:rStyle w:val="datalabel"/>
          <w:rFonts w:asciiTheme="minorHAnsi" w:hAnsiTheme="minorHAnsi"/>
        </w:rPr>
        <w:t>CZ.05.5.18/0.0/0.0/18_100/0009235</w:t>
      </w:r>
      <w:r w:rsidR="007866C2" w:rsidRPr="00953BFE">
        <w:rPr>
          <w:rFonts w:asciiTheme="minorHAnsi" w:hAnsiTheme="minorHAnsi" w:cs="Arial"/>
          <w:b/>
          <w:bCs/>
        </w:rPr>
        <w:t xml:space="preserve"> </w:t>
      </w:r>
      <w:r w:rsidR="007866C2" w:rsidRPr="00953BFE">
        <w:rPr>
          <w:rStyle w:val="datalabel"/>
          <w:rFonts w:asciiTheme="minorHAnsi" w:hAnsiTheme="minorHAnsi"/>
        </w:rPr>
        <w:t xml:space="preserve">a faktura č.2 </w:t>
      </w:r>
      <w:r w:rsidR="007866C2" w:rsidRPr="00F0709F">
        <w:rPr>
          <w:rFonts w:asciiTheme="minorHAnsi" w:hAnsiTheme="minorHAnsi" w:cs="Arial"/>
        </w:rPr>
        <w:t>,,</w:t>
      </w:r>
      <w:r w:rsidR="007866C2" w:rsidRPr="00F0709F">
        <w:rPr>
          <w:rStyle w:val="datalabel"/>
          <w:rFonts w:asciiTheme="minorHAnsi" w:hAnsiTheme="minorHAnsi"/>
        </w:rPr>
        <w:t xml:space="preserve">Realizace úspor energie - </w:t>
      </w:r>
      <w:r w:rsidR="007866C2" w:rsidRPr="00F0709F">
        <w:rPr>
          <w:rFonts w:asciiTheme="minorHAnsi" w:hAnsiTheme="minorHAnsi"/>
        </w:rPr>
        <w:t>ISŠ Moravská Třebová, budova dílen J. K. Tyla</w:t>
      </w:r>
      <w:r w:rsidR="007866C2" w:rsidRPr="00F0709F">
        <w:t xml:space="preserve"> </w:t>
      </w:r>
      <w:r w:rsidR="007866C2" w:rsidRPr="00F0709F">
        <w:rPr>
          <w:rStyle w:val="datalabel"/>
          <w:rFonts w:asciiTheme="minorHAnsi" w:hAnsiTheme="minorHAnsi"/>
        </w:rPr>
        <w:t>- rekuperace“</w:t>
      </w:r>
      <w:r w:rsidR="007866C2">
        <w:rPr>
          <w:rStyle w:val="datalabel"/>
          <w:rFonts w:asciiTheme="minorHAnsi" w:hAnsiTheme="minorHAnsi"/>
        </w:rPr>
        <w:t xml:space="preserve"> </w:t>
      </w:r>
      <w:r w:rsidR="007866C2" w:rsidRPr="00953BFE">
        <w:rPr>
          <w:rStyle w:val="datalabel"/>
          <w:rFonts w:asciiTheme="minorHAnsi" w:hAnsiTheme="minorHAnsi"/>
        </w:rPr>
        <w:t xml:space="preserve">s registračním číslem projektu </w:t>
      </w:r>
      <w:r w:rsidR="007866C2" w:rsidRPr="00F0709F">
        <w:rPr>
          <w:rStyle w:val="datalabel"/>
          <w:rFonts w:asciiTheme="minorHAnsi" w:hAnsiTheme="minorHAnsi"/>
        </w:rPr>
        <w:t>CZ.05.5.18/0.0/0.0/18_100/0009236</w:t>
      </w:r>
      <w:r w:rsidRPr="000D4CC0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</w:t>
      </w:r>
      <w:r w:rsidRPr="00522EC8">
        <w:rPr>
          <w:rFonts w:asciiTheme="minorHAnsi" w:hAnsiTheme="minorHAnsi"/>
        </w:rPr>
        <w:lastRenderedPageBreak/>
        <w:t xml:space="preserve">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BE04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709" w:right="1134" w:bottom="709" w:left="1134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5406" w14:textId="77777777" w:rsidR="00BE049D" w:rsidRDefault="00BE04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515A0601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BE049D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BE049D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16367" w14:textId="77777777" w:rsidR="00BE049D" w:rsidRDefault="00BE04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5D6B8683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 w:rsidR="00BE049D">
      <w:rPr>
        <w:rFonts w:ascii="Arial" w:hAnsi="Arial"/>
      </w:rPr>
      <w:tab/>
    </w:r>
    <w:r w:rsidR="00BE049D">
      <w:rPr>
        <w:rFonts w:ascii="Arial" w:hAnsi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61598018" w:rsidR="00F1379D" w:rsidRPr="00D436EB" w:rsidRDefault="00BE04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BE049D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B8B2A20" wp14:editId="7E7AFA62">
              <wp:simplePos x="0" y="0"/>
              <wp:positionH relativeFrom="column">
                <wp:posOffset>4925032</wp:posOffset>
              </wp:positionH>
              <wp:positionV relativeFrom="paragraph">
                <wp:posOffset>-87298</wp:posOffset>
              </wp:positionV>
              <wp:extent cx="1104900" cy="140462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D2832D" w14:textId="736CE1EE" w:rsidR="00BE049D" w:rsidRDefault="00BE049D" w:rsidP="00BE049D">
                          <w:pPr>
                            <w:jc w:val="right"/>
                          </w:pPr>
                          <w:bookmarkStart w:id="0" w:name="_GoBack"/>
                          <w:r>
                            <w:rPr>
                              <w:rFonts w:ascii="Arial" w:hAnsi="Arial"/>
                            </w:rPr>
                            <w:t>příloha č. 3</w:t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8B2A2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87.8pt;margin-top:-6.85pt;width:8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" stroked="f">
              <v:textbox style="mso-fit-shape-to-text:t">
                <w:txbxContent>
                  <w:p w14:paraId="3AD2832D" w14:textId="736CE1EE" w:rsidR="00BE049D" w:rsidRDefault="00BE049D" w:rsidP="00BE049D">
                    <w:pPr>
                      <w:jc w:val="right"/>
                    </w:pPr>
                    <w:bookmarkStart w:id="1" w:name="_GoBack"/>
                    <w:r>
                      <w:rPr>
                        <w:rFonts w:ascii="Arial" w:hAnsi="Arial"/>
                      </w:rPr>
                      <w:t>příloha č. 3</w:t>
                    </w:r>
                    <w:bookmarkEnd w:id="1"/>
                  </w:p>
                </w:txbxContent>
              </v:textbox>
              <w10:wrap type="square"/>
            </v:shape>
          </w:pict>
        </mc:Fallback>
      </mc:AlternateContent>
    </w:r>
    <w:r w:rsidR="00522EC8"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E049D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7B38D2"/>
  <w15:docId w15:val="{174F9DDE-B6DE-4C22-8404-F6C4DA24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F1690D9-A560-43EE-8988-3BAABE61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674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4644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Semerád Pavel Mgr.</cp:lastModifiedBy>
  <cp:revision>22</cp:revision>
  <cp:lastPrinted>2016-01-22T06:46:00Z</cp:lastPrinted>
  <dcterms:created xsi:type="dcterms:W3CDTF">2018-09-19T09:43:00Z</dcterms:created>
  <dcterms:modified xsi:type="dcterms:W3CDTF">2019-10-14T15:11:00Z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