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77777777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4 ke smlouvě č. </w:t>
      </w:r>
      <w:r w:rsidRPr="00D84AFA">
        <w:rPr>
          <w:rFonts w:asciiTheme="minorHAnsi" w:hAnsiTheme="minorHAnsi" w:cs="Arial"/>
          <w:b/>
          <w:color w:val="00B0F0"/>
          <w:sz w:val="28"/>
          <w:szCs w:val="28"/>
        </w:rPr>
        <w:t>doplní objednatel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F44F9A0" w14:textId="5E3ACB8B" w:rsidR="00171A77" w:rsidRDefault="00624BBA" w:rsidP="00624BBA">
      <w:pPr>
        <w:ind w:right="-24"/>
        <w:rPr>
          <w:rFonts w:asciiTheme="minorHAnsi" w:hAnsiTheme="minorHAnsi" w:cs="Arial"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394F8C" w:rsidRPr="00394F8C">
        <w:rPr>
          <w:rFonts w:asciiTheme="minorHAnsi" w:hAnsiTheme="minorHAnsi" w:cs="Arial"/>
        </w:rPr>
        <w:t>Modernizace silnice II/315 Skuhrov - Lanškroun (kruhový objezd)</w:t>
      </w:r>
    </w:p>
    <w:p w14:paraId="3367D799" w14:textId="5F3EBD02" w:rsidR="001F727B" w:rsidRPr="00F24C82" w:rsidRDefault="001F727B" w:rsidP="00624BBA">
      <w:pPr>
        <w:ind w:right="-24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Registrační číslo</w:t>
      </w:r>
      <w:r w:rsidR="00BB3F0F">
        <w:rPr>
          <w:rFonts w:asciiTheme="minorHAnsi" w:hAnsiTheme="minorHAnsi" w:cs="Arial"/>
          <w:b/>
        </w:rPr>
        <w:t xml:space="preserve"> projektu</w:t>
      </w:r>
      <w:r>
        <w:rPr>
          <w:rFonts w:asciiTheme="minorHAnsi" w:hAnsiTheme="minorHAnsi" w:cs="Arial"/>
          <w:b/>
        </w:rPr>
        <w:t xml:space="preserve">: </w:t>
      </w:r>
      <w:r w:rsidR="00493292" w:rsidRPr="00493292">
        <w:rPr>
          <w:rFonts w:asciiTheme="minorHAnsi" w:hAnsiTheme="minorHAnsi" w:cs="Arial"/>
        </w:rPr>
        <w:t>CZ.06.1.42/0.0/0.0/17_082/0010056</w:t>
      </w:r>
    </w:p>
    <w:p w14:paraId="4727B0DF" w14:textId="25229C9B"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 w:rsidRPr="000E400E">
        <w:rPr>
          <w:rFonts w:asciiTheme="minorHAnsi" w:hAnsiTheme="minorHAnsi" w:cs="Arial"/>
        </w:rPr>
        <w:t>Integrova</w:t>
      </w:r>
      <w:bookmarkStart w:id="0" w:name="_GoBack"/>
      <w:bookmarkEnd w:id="0"/>
      <w:r w:rsidR="001F6F5E" w:rsidRPr="000E400E">
        <w:rPr>
          <w:rFonts w:asciiTheme="minorHAnsi" w:hAnsiTheme="minorHAnsi" w:cs="Arial"/>
        </w:rPr>
        <w:t>ný regionální operační program (dále jen „IROP“)</w:t>
      </w:r>
    </w:p>
    <w:p w14:paraId="0813EEB6" w14:textId="02CD17F4" w:rsidR="00A10E9F" w:rsidRPr="000E400E" w:rsidRDefault="00A10E9F" w:rsidP="00624BBA">
      <w:pPr>
        <w:ind w:right="-24"/>
        <w:rPr>
          <w:rFonts w:asciiTheme="minorHAnsi" w:hAnsiTheme="minorHAnsi" w:cs="Arial"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0E400E">
        <w:rPr>
          <w:rFonts w:asciiTheme="minorHAnsi" w:hAnsiTheme="minorHAnsi" w:cs="Arial"/>
        </w:rPr>
        <w:t>V</w:t>
      </w:r>
      <w:r w:rsidR="001F6F5E" w:rsidRPr="000E400E">
        <w:rPr>
          <w:rFonts w:asciiTheme="minorHAnsi" w:hAnsiTheme="minorHAnsi" w:cs="Arial"/>
        </w:rPr>
        <w:t>ýzva</w:t>
      </w:r>
      <w:r w:rsidR="00BB3F0F" w:rsidRPr="000E400E">
        <w:rPr>
          <w:rFonts w:asciiTheme="minorHAnsi" w:hAnsiTheme="minorHAnsi" w:cs="Arial"/>
        </w:rPr>
        <w:t xml:space="preserve"> č. 70</w:t>
      </w:r>
      <w:r w:rsidR="00B553E1" w:rsidRPr="000E400E">
        <w:rPr>
          <w:rFonts w:asciiTheme="minorHAnsi" w:hAnsiTheme="minorHAnsi" w:cs="Arial"/>
        </w:rPr>
        <w:t>, vybrané úseky silnic II. a III. třídy</w:t>
      </w:r>
    </w:p>
    <w:p w14:paraId="744D9A58" w14:textId="28E8EBEA" w:rsidR="00624BBA" w:rsidRDefault="00A57ABF" w:rsidP="00A10E9F">
      <w:pPr>
        <w:ind w:right="-24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 w:rsidRPr="000E400E">
        <w:rPr>
          <w:rFonts w:asciiTheme="minorHAnsi" w:hAnsiTheme="minorHAnsi" w:cs="Arial"/>
        </w:rPr>
        <w:t>Ministerstvo pro místní rozvoj ČR</w:t>
      </w:r>
    </w:p>
    <w:p w14:paraId="4A21EB9E" w14:textId="2260FC25" w:rsidR="008F2822" w:rsidRPr="008F2822" w:rsidRDefault="008F2822" w:rsidP="00A10E9F">
      <w:pPr>
        <w:ind w:right="-24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Manažer projektu: </w:t>
      </w:r>
      <w:r w:rsidR="00183C49" w:rsidRPr="00183C49">
        <w:rPr>
          <w:rFonts w:asciiTheme="minorHAnsi" w:hAnsiTheme="minorHAnsi" w:cs="Arial"/>
        </w:rPr>
        <w:t xml:space="preserve">Ing. </w:t>
      </w:r>
      <w:r w:rsidR="007F6792">
        <w:rPr>
          <w:rFonts w:asciiTheme="minorHAnsi" w:hAnsiTheme="minorHAnsi" w:cs="Arial"/>
        </w:rPr>
        <w:t>Pavel Jakubec</w:t>
      </w:r>
      <w:r>
        <w:rPr>
          <w:rFonts w:asciiTheme="minorHAnsi" w:hAnsiTheme="minorHAnsi" w:cs="Arial"/>
        </w:rPr>
        <w:t xml:space="preserve">, tel. </w:t>
      </w:r>
      <w:r w:rsidR="00A40911">
        <w:rPr>
          <w:rFonts w:asciiTheme="minorHAnsi" w:hAnsiTheme="minorHAnsi" w:cs="Arial"/>
        </w:rPr>
        <w:t>725 536 0</w:t>
      </w:r>
      <w:r w:rsidR="00183C49">
        <w:rPr>
          <w:rFonts w:asciiTheme="minorHAnsi" w:hAnsiTheme="minorHAnsi" w:cs="Arial"/>
        </w:rPr>
        <w:t>7</w:t>
      </w:r>
      <w:r w:rsidR="00A40911">
        <w:rPr>
          <w:rFonts w:asciiTheme="minorHAnsi" w:hAnsiTheme="minorHAnsi" w:cs="Arial"/>
        </w:rPr>
        <w:t>8</w:t>
      </w:r>
      <w:r>
        <w:rPr>
          <w:rFonts w:asciiTheme="minorHAnsi" w:hAnsiTheme="minorHAnsi" w:cs="Arial"/>
        </w:rPr>
        <w:t xml:space="preserve">, </w:t>
      </w:r>
      <w:hyperlink r:id="rId8" w:history="1">
        <w:r w:rsidR="00BA5A99" w:rsidRPr="00271C1C">
          <w:rPr>
            <w:rStyle w:val="Hypertextovodkaz"/>
            <w:rFonts w:asciiTheme="minorHAnsi" w:hAnsiTheme="minorHAnsi" w:cs="Arial"/>
          </w:rPr>
          <w:t>pavel.jakubec@pardubickykraj.cz</w:t>
        </w:r>
      </w:hyperlink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6027167B" w14:textId="41BEF8C8" w:rsidR="004960BF" w:rsidRPr="0076682F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</w:t>
      </w:r>
      <w:r w:rsidR="00D53EE1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>Faktury musí obsahovat účel fakturovaných částek</w:t>
      </w:r>
      <w:r w:rsidR="006304E7">
        <w:rPr>
          <w:rFonts w:asciiTheme="minorHAnsi" w:hAnsiTheme="minorHAnsi"/>
        </w:rPr>
        <w:t xml:space="preserve"> podle uzavřené realizační smlouvy</w:t>
      </w:r>
      <w:r w:rsidRPr="0076682F">
        <w:rPr>
          <w:rFonts w:asciiTheme="minorHAnsi" w:hAnsiTheme="minorHAnsi"/>
        </w:rPr>
        <w:t xml:space="preserve">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manažera</w:t>
      </w:r>
      <w:r w:rsidR="006304E7">
        <w:rPr>
          <w:rFonts w:asciiTheme="minorHAnsi" w:hAnsiTheme="minorHAnsi"/>
        </w:rPr>
        <w:t xml:space="preserve"> projektu</w:t>
      </w:r>
      <w:r w:rsidR="00815A99">
        <w:rPr>
          <w:rFonts w:asciiTheme="minorHAnsi" w:hAnsiTheme="minorHAnsi"/>
        </w:rPr>
        <w:t>.</w:t>
      </w:r>
    </w:p>
    <w:p w14:paraId="569657E8" w14:textId="0BDC916D" w:rsidR="0088452D" w:rsidRPr="0076682F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</w:t>
      </w:r>
      <w:r w:rsidR="00D53EE1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2</w:t>
      </w:r>
      <w:r w:rsidR="00F82997" w:rsidRPr="0076682F">
        <w:rPr>
          <w:rFonts w:asciiTheme="minorHAnsi" w:hAnsiTheme="minorHAnsi"/>
        </w:rPr>
        <w:t>,</w:t>
      </w:r>
      <w:r w:rsidRPr="0076682F">
        <w:rPr>
          <w:rFonts w:asciiTheme="minorHAnsi" w:hAnsiTheme="minorHAnsi"/>
        </w:rPr>
        <w:t xml:space="preserve"> písm.</w:t>
      </w:r>
      <w:r w:rsidR="00D53EE1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e)</w:t>
      </w:r>
      <w:r w:rsidR="00F82997" w:rsidRPr="0076682F">
        <w:rPr>
          <w:rFonts w:asciiTheme="minorHAnsi" w:hAnsiTheme="minorHAnsi"/>
        </w:rPr>
        <w:t>,</w:t>
      </w:r>
      <w:r w:rsidRPr="0076682F">
        <w:rPr>
          <w:rFonts w:asciiTheme="minorHAnsi" w:hAnsiTheme="minorHAnsi"/>
        </w:rPr>
        <w:t xml:space="preserve"> zákona č.</w:t>
      </w:r>
      <w:r w:rsidR="00D53EE1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14:paraId="60B73659" w14:textId="59601A80" w:rsidR="00D97485" w:rsidRPr="0076682F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D53EE1">
        <w:rPr>
          <w:rFonts w:asciiTheme="minorHAnsi" w:hAnsiTheme="minorHAnsi"/>
          <w:spacing w:val="-2"/>
        </w:rPr>
        <w:t>realizací. Zhotovitel se zavazuje poskytnout na výzvu své daňové účetnictví nebo daňovou</w:t>
      </w:r>
      <w:r w:rsidRPr="0076682F">
        <w:rPr>
          <w:rFonts w:asciiTheme="minorHAnsi" w:hAnsiTheme="minorHAnsi"/>
        </w:rPr>
        <w:t xml:space="preserve"> evidenci k nahlédnutí v rozsahu, který souvisí s projektem. Zhotovitel se dále zavazuje </w:t>
      </w:r>
      <w:r w:rsidRPr="00D53EE1">
        <w:rPr>
          <w:rFonts w:asciiTheme="minorHAnsi" w:hAnsiTheme="minorHAnsi"/>
          <w:spacing w:val="-2"/>
        </w:rPr>
        <w:t xml:space="preserve">provést v požadovaném termínu, rozsahu a kvalitě opatření </w:t>
      </w:r>
      <w:r w:rsidR="00F82997" w:rsidRPr="00D53EE1">
        <w:rPr>
          <w:rFonts w:asciiTheme="minorHAnsi" w:hAnsiTheme="minorHAnsi"/>
          <w:spacing w:val="-2"/>
        </w:rPr>
        <w:t xml:space="preserve">vedoucí </w:t>
      </w:r>
      <w:r w:rsidRPr="00D53EE1">
        <w:rPr>
          <w:rFonts w:asciiTheme="minorHAnsi" w:hAnsiTheme="minorHAnsi"/>
          <w:spacing w:val="-2"/>
        </w:rPr>
        <w:t>k odstranění kontrol</w:t>
      </w:r>
      <w:r w:rsidRPr="0076682F">
        <w:rPr>
          <w:rFonts w:asciiTheme="minorHAnsi" w:hAnsiTheme="minorHAnsi"/>
        </w:rPr>
        <w:t>ních zjištění a informovat o nich příslušný</w:t>
      </w:r>
      <w:r w:rsidR="00D84AFA">
        <w:rPr>
          <w:rFonts w:asciiTheme="minorHAnsi" w:hAnsiTheme="minorHAnsi"/>
        </w:rPr>
        <w:t xml:space="preserve"> kontrolní orgán, objednatele a </w:t>
      </w:r>
      <w:r w:rsidRPr="0076682F">
        <w:rPr>
          <w:rFonts w:asciiTheme="minorHAnsi" w:hAnsiTheme="minorHAnsi"/>
        </w:rPr>
        <w:t>poskytovatele dotace.</w:t>
      </w:r>
    </w:p>
    <w:p w14:paraId="6FACD0B7" w14:textId="066D03E0" w:rsidR="00D97485" w:rsidRPr="0076682F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14:paraId="53CFFB42" w14:textId="1C8C4FC0" w:rsidR="00D97485" w:rsidRPr="0076682F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</w:t>
      </w:r>
      <w:r w:rsidR="009D0397">
        <w:rPr>
          <w:rFonts w:asciiTheme="minorHAnsi" w:hAnsiTheme="minorHAnsi"/>
        </w:rPr>
        <w:t xml:space="preserve"> o realizaci projektu</w:t>
      </w:r>
      <w:r w:rsidR="0076682F">
        <w:rPr>
          <w:rFonts w:asciiTheme="minorHAnsi" w:hAnsiTheme="minorHAnsi"/>
        </w:rPr>
        <w:t xml:space="preserve"> (průběžných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9D0397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</w:t>
      </w:r>
      <w:r w:rsidR="009D0397">
        <w:rPr>
          <w:rFonts w:asciiTheme="minorHAnsi" w:hAnsiTheme="minorHAnsi"/>
        </w:rPr>
        <w:t xml:space="preserve">žádostí </w:t>
      </w:r>
      <w:r w:rsidR="00B264D3">
        <w:rPr>
          <w:rFonts w:asciiTheme="minorHAnsi" w:hAnsiTheme="minorHAnsi"/>
        </w:rPr>
        <w:t>o změn</w:t>
      </w:r>
      <w:r w:rsidR="009D0397">
        <w:rPr>
          <w:rFonts w:asciiTheme="minorHAnsi" w:hAnsiTheme="minorHAnsi"/>
        </w:rPr>
        <w:t>u</w:t>
      </w:r>
      <w:r w:rsidR="00B264D3">
        <w:rPr>
          <w:rFonts w:asciiTheme="minorHAnsi" w:hAnsiTheme="minorHAnsi"/>
        </w:rPr>
        <w:t xml:space="preserve"> projektu, </w:t>
      </w:r>
      <w:r w:rsidR="009D0397">
        <w:rPr>
          <w:rFonts w:asciiTheme="minorHAnsi" w:hAnsiTheme="minorHAnsi"/>
        </w:rPr>
        <w:t>zpráv o udržitelnosti projektu</w:t>
      </w:r>
      <w:r w:rsidR="0073648F">
        <w:rPr>
          <w:rFonts w:asciiTheme="minorHAnsi" w:hAnsiTheme="minorHAnsi"/>
        </w:rPr>
        <w:t xml:space="preserve"> a závěrečné zprávy o udržitelnosti projektu</w:t>
      </w:r>
      <w:r w:rsidR="009D0397">
        <w:rPr>
          <w:rFonts w:asciiTheme="minorHAnsi" w:hAnsiTheme="minorHAnsi"/>
        </w:rPr>
        <w:t>.</w:t>
      </w:r>
    </w:p>
    <w:p w14:paraId="7406495A" w14:textId="2E8911E7" w:rsidR="004960BF" w:rsidRPr="0012186A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Zhotovitel</w:t>
      </w:r>
      <w:r w:rsidRPr="0012186A">
        <w:rPr>
          <w:rFonts w:asciiTheme="minorHAnsi" w:hAnsiTheme="minorHAnsi"/>
        </w:rPr>
        <w:t xml:space="preserve"> je povinen minimálně do konce roku </w:t>
      </w:r>
      <w:r w:rsidRPr="009F659F">
        <w:rPr>
          <w:rFonts w:asciiTheme="minorHAnsi" w:hAnsiTheme="minorHAnsi"/>
        </w:rPr>
        <w:t>2028</w:t>
      </w:r>
      <w:r w:rsidRPr="0012186A">
        <w:rPr>
          <w:rFonts w:asciiTheme="minorHAnsi" w:hAnsiTheme="minorHAnsi"/>
        </w:rPr>
        <w:t xml:space="preserve"> poskytovat požadované informace a dokumentaci související s</w:t>
      </w:r>
      <w:r w:rsidR="00D53EE1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realizací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 xml:space="preserve">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</w:t>
      </w:r>
      <w:r w:rsidRPr="0012186A">
        <w:rPr>
          <w:rFonts w:asciiTheme="minorHAnsi" w:hAnsiTheme="minorHAnsi"/>
        </w:rPr>
        <w:lastRenderedPageBreak/>
        <w:t>podmínky k</w:t>
      </w:r>
      <w:r w:rsidR="00FB01C9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provedení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>kontroly vztahující se k</w:t>
      </w:r>
      <w:r w:rsidR="00D53EE1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realizaci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>projektu a poskytnout jim při provádění kontroly součinnost.</w:t>
      </w:r>
      <w:r w:rsidRPr="0012186A">
        <w:t xml:space="preserve"> </w:t>
      </w:r>
      <w:r>
        <w:t>P</w:t>
      </w:r>
      <w:r w:rsidRPr="0012186A">
        <w:rPr>
          <w:rFonts w:asciiTheme="minorHAnsi" w:hAnsiTheme="minorHAnsi"/>
        </w:rPr>
        <w:t>okud je v</w:t>
      </w:r>
      <w:r w:rsidR="00D53EE1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českých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>právních předpisech stanovena lhůta delší, musí být použita pro úschovu tato lhůta.</w:t>
      </w:r>
    </w:p>
    <w:p w14:paraId="3038EF51" w14:textId="1809A4EA" w:rsidR="004960BF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5DF976C" w14:textId="094FF53D" w:rsidR="00CB04A4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CB04A4">
        <w:rPr>
          <w:rFonts w:asciiTheme="minorHAnsi" w:hAnsiTheme="minorHAnsi"/>
        </w:rPr>
        <w:t>Pro potřebu průběžného sledování nákladů zhotovitel vyhotoví a s</w:t>
      </w:r>
      <w:r w:rsidR="00D53EE1">
        <w:rPr>
          <w:rFonts w:asciiTheme="minorHAnsi" w:hAnsiTheme="minorHAnsi"/>
        </w:rPr>
        <w:t> </w:t>
      </w:r>
      <w:r w:rsidRPr="00CB04A4">
        <w:rPr>
          <w:rFonts w:asciiTheme="minorHAnsi" w:hAnsiTheme="minorHAnsi"/>
        </w:rPr>
        <w:t>každou</w:t>
      </w:r>
      <w:r w:rsidR="00D53EE1">
        <w:rPr>
          <w:rFonts w:asciiTheme="minorHAnsi" w:hAnsiTheme="minorHAnsi"/>
        </w:rPr>
        <w:t xml:space="preserve"> </w:t>
      </w:r>
      <w:r w:rsidRPr="00CB04A4">
        <w:rPr>
          <w:rFonts w:asciiTheme="minorHAnsi" w:hAnsiTheme="minorHAnsi"/>
        </w:rPr>
        <w:t>fakturou objednateli předá elektronický přehled čerpání položek rozpočtu za fakturované období. Vzor přehledu o průběžném čerpání rozpočtu zhotovitel obdrží od objednatele před zahájením fyzické realizace.</w:t>
      </w:r>
    </w:p>
    <w:p w14:paraId="7367D7C4" w14:textId="78A7613C" w:rsidR="00CB04A4" w:rsidRPr="00CB04A4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Pr="00CB04A4">
        <w:rPr>
          <w:rFonts w:asciiTheme="minorHAnsi" w:hAnsiTheme="minorHAnsi"/>
        </w:rPr>
        <w:t>hotovitel vyhotoví a s</w:t>
      </w:r>
      <w:r w:rsidR="00D53EE1">
        <w:rPr>
          <w:rFonts w:asciiTheme="minorHAnsi" w:hAnsiTheme="minorHAnsi"/>
        </w:rPr>
        <w:t> </w:t>
      </w:r>
      <w:r w:rsidRPr="00CB04A4">
        <w:rPr>
          <w:rFonts w:asciiTheme="minorHAnsi" w:hAnsiTheme="minorHAnsi"/>
        </w:rPr>
        <w:t>každou</w:t>
      </w:r>
      <w:r w:rsidR="00D53EE1">
        <w:rPr>
          <w:rFonts w:asciiTheme="minorHAnsi" w:hAnsiTheme="minorHAnsi"/>
        </w:rPr>
        <w:t xml:space="preserve"> </w:t>
      </w:r>
      <w:r w:rsidRPr="00CB04A4">
        <w:rPr>
          <w:rFonts w:asciiTheme="minorHAnsi" w:hAnsiTheme="minorHAnsi"/>
        </w:rPr>
        <w:t xml:space="preserve">fakturou objednateli </w:t>
      </w:r>
      <w:r>
        <w:rPr>
          <w:rFonts w:asciiTheme="minorHAnsi" w:hAnsiTheme="minorHAnsi"/>
        </w:rPr>
        <w:t>na nosiči CD předá jím provedenou fotodokumentaci průběhu realizace stavby</w:t>
      </w:r>
      <w:r w:rsidR="0073648F">
        <w:rPr>
          <w:rFonts w:asciiTheme="minorHAnsi" w:hAnsiTheme="minorHAnsi"/>
        </w:rPr>
        <w:t xml:space="preserve"> a stručný popis provedených prací</w:t>
      </w:r>
      <w:r>
        <w:rPr>
          <w:rFonts w:asciiTheme="minorHAnsi" w:hAnsiTheme="minorHAnsi"/>
        </w:rPr>
        <w:t>.</w:t>
      </w:r>
    </w:p>
    <w:p w14:paraId="65B0ACB2" w14:textId="77777777"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6BBEF244" w14:textId="76428C53" w:rsidR="00A15259" w:rsidRPr="009804EF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1F2FE2">
        <w:rPr>
          <w:rFonts w:asciiTheme="minorHAnsi" w:hAnsiTheme="minorHAnsi" w:cs="Arial"/>
        </w:rPr>
        <w:t>v místě realizace projektu na viditelném místě</w:t>
      </w:r>
      <w:r w:rsidRPr="009804EF">
        <w:rPr>
          <w:rFonts w:asciiTheme="minorHAnsi" w:hAnsiTheme="minorHAnsi" w:cs="Arial"/>
        </w:rPr>
        <w:t xml:space="preserve"> modernizované komunikace </w:t>
      </w:r>
      <w:r w:rsidRPr="009804EF">
        <w:rPr>
          <w:rFonts w:asciiTheme="minorHAnsi" w:hAnsiTheme="minorHAnsi"/>
        </w:rPr>
        <w:t>dočasn</w:t>
      </w:r>
      <w:r w:rsidR="009B3ABB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o </w:t>
      </w:r>
      <w:r w:rsidR="00B553E1" w:rsidRPr="00B553E1">
        <w:rPr>
          <w:rFonts w:asciiTheme="minorHAnsi" w:hAnsiTheme="minorHAnsi"/>
        </w:rPr>
        <w:t>rozměrech 5,1 x 2,4 m (standardní euroformát)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E445C1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bud</w:t>
      </w:r>
      <w:r w:rsidR="00E445C1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14:paraId="09E5E8B4" w14:textId="6C462C50" w:rsidR="005C7CD6" w:rsidRPr="00A15259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Dočasný b</w:t>
      </w:r>
      <w:r w:rsidR="009804EF" w:rsidRPr="009804EF">
        <w:rPr>
          <w:rFonts w:asciiTheme="minorHAnsi" w:hAnsiTheme="minorHAnsi"/>
        </w:rPr>
        <w:t>illboard bud</w:t>
      </w:r>
      <w:r w:rsidR="00E445C1"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</w:t>
      </w:r>
      <w:r w:rsidR="00D53EE1">
        <w:rPr>
          <w:rFonts w:asciiTheme="minorHAnsi" w:hAnsiTheme="minorHAnsi"/>
        </w:rPr>
        <w:t> </w:t>
      </w:r>
      <w:r w:rsidR="009804EF" w:rsidRPr="009804EF">
        <w:rPr>
          <w:rFonts w:asciiTheme="minorHAnsi" w:hAnsiTheme="minorHAnsi"/>
        </w:rPr>
        <w:t>den zahájení fyzických prací, zhotovitel provede o této skutečnosti zápis do stavebního deníku a pořídí fotodokumentaci b</w:t>
      </w:r>
      <w:r w:rsidR="009804EF">
        <w:rPr>
          <w:rFonts w:asciiTheme="minorHAnsi" w:hAnsiTheme="minorHAnsi"/>
        </w:rPr>
        <w:t>illboard</w:t>
      </w:r>
      <w:r w:rsidR="00E445C1">
        <w:rPr>
          <w:rFonts w:asciiTheme="minorHAnsi" w:hAnsiTheme="minorHAnsi"/>
        </w:rPr>
        <w:t>u</w:t>
      </w:r>
      <w:r>
        <w:rPr>
          <w:rFonts w:asciiTheme="minorHAnsi" w:hAnsiTheme="minorHAnsi"/>
        </w:rPr>
        <w:t>, kterou následně zašle manažerovi projektu.</w:t>
      </w:r>
    </w:p>
    <w:p w14:paraId="086AFD70" w14:textId="0580CF3E" w:rsidR="003317D4" w:rsidRPr="00B553E1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 xml:space="preserve">Zhotovitel umístí </w:t>
      </w:r>
      <w:r w:rsidR="00843E8E">
        <w:rPr>
          <w:rFonts w:asciiTheme="minorHAnsi" w:hAnsiTheme="minorHAnsi" w:cs="Arial"/>
        </w:rPr>
        <w:t xml:space="preserve">v závěru prací </w:t>
      </w:r>
      <w:r w:rsidRPr="00594FC3">
        <w:rPr>
          <w:rFonts w:asciiTheme="minorHAnsi" w:hAnsiTheme="minorHAnsi" w:cs="Arial"/>
        </w:rPr>
        <w:t>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0,3 x 0,4 m (</w:t>
      </w:r>
      <w:r w:rsidR="00B553E1">
        <w:rPr>
          <w:rFonts w:asciiTheme="minorHAnsi" w:hAnsiTheme="minorHAnsi" w:cs="Arial"/>
        </w:rPr>
        <w:t>lze použít na výšku i na šířku)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</w:t>
      </w:r>
      <w:r w:rsidR="006432D9">
        <w:rPr>
          <w:rFonts w:asciiTheme="minorHAnsi" w:hAnsiTheme="minorHAnsi" w:cs="Arial"/>
        </w:rPr>
        <w:t> </w:t>
      </w:r>
      <w:r w:rsidR="00B6120D" w:rsidRPr="00B553E1">
        <w:rPr>
          <w:rFonts w:asciiTheme="minorHAnsi" w:hAnsiTheme="minorHAnsi" w:cs="Arial"/>
        </w:rPr>
        <w:t>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</w:t>
      </w:r>
      <w:r w:rsidR="00F564E7">
        <w:rPr>
          <w:rFonts w:asciiTheme="minorHAnsi" w:hAnsiTheme="minorHAnsi" w:cs="Arial"/>
        </w:rPr>
        <w:t xml:space="preserve">pětileté </w:t>
      </w:r>
      <w:r w:rsidR="00B6120D" w:rsidRPr="00B553E1">
        <w:rPr>
          <w:rFonts w:asciiTheme="minorHAnsi" w:hAnsiTheme="minorHAnsi" w:cs="Arial"/>
        </w:rPr>
        <w:t>udržitelnosti projektu.</w:t>
      </w:r>
    </w:p>
    <w:p w14:paraId="0B895881" w14:textId="2E6E0C40" w:rsidR="008A119F" w:rsidRDefault="00B6120D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 xml:space="preserve">Grafické podklady pro výrobu </w:t>
      </w:r>
      <w:r w:rsidR="009467FE">
        <w:rPr>
          <w:rFonts w:asciiTheme="minorHAnsi" w:hAnsiTheme="minorHAnsi" w:cs="Arial"/>
        </w:rPr>
        <w:t xml:space="preserve">dočasného </w:t>
      </w:r>
      <w:r w:rsidRPr="00B6120D">
        <w:rPr>
          <w:rFonts w:asciiTheme="minorHAnsi" w:hAnsiTheme="minorHAnsi" w:cs="Arial"/>
        </w:rPr>
        <w:t>billboard</w:t>
      </w:r>
      <w:r w:rsidR="00FD1682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FD1682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stále pamětní desky musí být konzultováno a odsouhlaseno manažerem</w:t>
      </w:r>
      <w:r w:rsidR="006304E7">
        <w:rPr>
          <w:rFonts w:asciiTheme="minorHAnsi" w:hAnsiTheme="minorHAnsi" w:cs="Arial"/>
        </w:rPr>
        <w:t xml:space="preserve"> projektu</w:t>
      </w:r>
      <w:r>
        <w:rPr>
          <w:rFonts w:asciiTheme="minorHAnsi" w:hAnsiTheme="minorHAnsi" w:cs="Arial"/>
        </w:rPr>
        <w:t>.</w:t>
      </w:r>
    </w:p>
    <w:p w14:paraId="240428C7" w14:textId="03B932C1" w:rsidR="0044315E" w:rsidRDefault="008A119F" w:rsidP="00FB01C9">
      <w:pPr>
        <w:pStyle w:val="Odstavecseseznamem"/>
        <w:numPr>
          <w:ilvl w:val="0"/>
          <w:numId w:val="28"/>
        </w:numPr>
        <w:ind w:left="426" w:hanging="426"/>
        <w:jc w:val="both"/>
        <w:rPr>
          <w:rFonts w:asciiTheme="minorHAnsi" w:hAnsiTheme="minorHAnsi"/>
        </w:rPr>
      </w:pPr>
      <w:r w:rsidRPr="008A119F">
        <w:rPr>
          <w:rFonts w:asciiTheme="minorHAnsi" w:hAnsiTheme="minorHAnsi"/>
        </w:rPr>
        <w:t>Další povinnosti zhotovitele vyplývají také z Obecných pravid</w:t>
      </w:r>
      <w:r w:rsidR="0044315E">
        <w:rPr>
          <w:rFonts w:asciiTheme="minorHAnsi" w:hAnsiTheme="minorHAnsi"/>
        </w:rPr>
        <w:t xml:space="preserve">el pro žadatele a příjemce a </w:t>
      </w:r>
      <w:r w:rsidRPr="006432D9">
        <w:rPr>
          <w:rFonts w:asciiTheme="minorHAnsi" w:hAnsiTheme="minorHAnsi"/>
          <w:spacing w:val="-2"/>
        </w:rPr>
        <w:t xml:space="preserve">Specifických pravidel pro žadatele a příjemce, včetně příloh a </w:t>
      </w:r>
      <w:r w:rsidR="0044315E" w:rsidRPr="006432D9">
        <w:rPr>
          <w:rFonts w:asciiTheme="minorHAnsi" w:hAnsiTheme="minorHAnsi"/>
          <w:spacing w:val="-2"/>
        </w:rPr>
        <w:t>dalších dokumentů dostup</w:t>
      </w:r>
      <w:r w:rsidR="0044315E">
        <w:rPr>
          <w:rFonts w:asciiTheme="minorHAnsi" w:hAnsiTheme="minorHAnsi"/>
        </w:rPr>
        <w:t xml:space="preserve">ných </w:t>
      </w:r>
      <w:r w:rsidR="00BB3F0F" w:rsidRPr="0044315E">
        <w:rPr>
          <w:rFonts w:asciiTheme="minorHAnsi" w:hAnsiTheme="minorHAnsi"/>
        </w:rPr>
        <w:t>pro výzvu č. 70</w:t>
      </w:r>
      <w:r w:rsidRPr="0044315E">
        <w:rPr>
          <w:rFonts w:asciiTheme="minorHAnsi" w:hAnsiTheme="minorHAnsi"/>
        </w:rPr>
        <w:t>, viz:</w:t>
      </w:r>
    </w:p>
    <w:p w14:paraId="434DFD32" w14:textId="2B78234E" w:rsidR="008A119F" w:rsidRDefault="00A92EC3" w:rsidP="0044315E">
      <w:pPr>
        <w:pStyle w:val="Odstavecseseznamem"/>
        <w:ind w:left="426"/>
        <w:jc w:val="both"/>
        <w:rPr>
          <w:rFonts w:asciiTheme="minorHAnsi" w:hAnsiTheme="minorHAnsi"/>
        </w:rPr>
      </w:pPr>
      <w:hyperlink r:id="rId9" w:history="1">
        <w:r w:rsidR="00183C49" w:rsidRPr="00F04631">
          <w:rPr>
            <w:rStyle w:val="Hypertextovodkaz"/>
            <w:rFonts w:asciiTheme="minorHAnsi" w:hAnsiTheme="minorHAnsi"/>
          </w:rPr>
          <w:t>http://www.dotaceeu.cz/cs/Microsites/IROP/Vyzvy/Vyzva-c-70-Vybrane-useky-silnic-II-a-III-tridy-II</w:t>
        </w:r>
      </w:hyperlink>
    </w:p>
    <w:p w14:paraId="4AD0FD6E" w14:textId="77777777" w:rsidR="009467FE" w:rsidRDefault="009467FE" w:rsidP="0044315E">
      <w:pPr>
        <w:pStyle w:val="Odstavecseseznamem"/>
        <w:ind w:left="426"/>
        <w:jc w:val="both"/>
        <w:rPr>
          <w:rFonts w:asciiTheme="minorHAnsi" w:hAnsiTheme="minorHAnsi"/>
        </w:rPr>
      </w:pPr>
    </w:p>
    <w:p w14:paraId="4E974817" w14:textId="25E2DE31" w:rsidR="009467FE" w:rsidRPr="0044315E" w:rsidRDefault="009467FE" w:rsidP="0044315E">
      <w:pPr>
        <w:pStyle w:val="Odstavecseseznamem"/>
        <w:ind w:left="426"/>
        <w:jc w:val="both"/>
        <w:rPr>
          <w:rFonts w:asciiTheme="minorHAnsi" w:hAnsiTheme="minorHAnsi"/>
        </w:rPr>
      </w:pPr>
    </w:p>
    <w:p w14:paraId="30543C09" w14:textId="358D8EB3" w:rsidR="0044315E" w:rsidRPr="00BB3F0F" w:rsidRDefault="00915AB8" w:rsidP="00915AB8">
      <w:pPr>
        <w:pStyle w:val="Odstavecseseznamem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8240" behindDoc="1" locked="0" layoutInCell="1" allowOverlap="1" wp14:anchorId="352CD9D1" wp14:editId="3D36C8AF">
            <wp:simplePos x="0" y="0"/>
            <wp:positionH relativeFrom="column">
              <wp:posOffset>99695</wp:posOffset>
            </wp:positionH>
            <wp:positionV relativeFrom="paragraph">
              <wp:posOffset>109855</wp:posOffset>
            </wp:positionV>
            <wp:extent cx="5759450" cy="949960"/>
            <wp:effectExtent l="0" t="0" r="0" b="2540"/>
            <wp:wrapTight wrapText="bothSides">
              <wp:wrapPolygon edited="0">
                <wp:start x="0" y="0"/>
                <wp:lineTo x="0" y="21225"/>
                <wp:lineTo x="21505" y="21225"/>
                <wp:lineTo x="21505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P_CZ_RO_B_C RG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4315E" w:rsidRPr="00BB3F0F" w:rsidSect="00F30D23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FAC42" w14:textId="77777777" w:rsidR="00C160C1" w:rsidRDefault="00C160C1">
      <w:r>
        <w:separator/>
      </w:r>
    </w:p>
  </w:endnote>
  <w:endnote w:type="continuationSeparator" w:id="0">
    <w:p w14:paraId="6B7D6596" w14:textId="77777777"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7E3CB5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A92EC3">
      <w:rPr>
        <w:noProof/>
      </w:rPr>
      <w:t>2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A92EC3">
      <w:rPr>
        <w:noProof/>
      </w:rPr>
      <w:t>2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C4E05" w14:textId="77777777" w:rsidR="00C160C1" w:rsidRDefault="00C160C1">
      <w:r>
        <w:separator/>
      </w:r>
    </w:p>
  </w:footnote>
  <w:footnote w:type="continuationSeparator" w:id="0">
    <w:p w14:paraId="42550ECD" w14:textId="77777777"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7891C6BF" w:rsidR="00391D85" w:rsidRPr="00391D85" w:rsidRDefault="00391D85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7891C6BF" w:rsidR="00391D85" w:rsidRPr="00391D85" w:rsidRDefault="00391D85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8"/>
  </w:num>
  <w:num w:numId="4">
    <w:abstractNumId w:val="29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9"/>
  </w:num>
  <w:num w:numId="15">
    <w:abstractNumId w:val="25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1"/>
  </w:num>
  <w:num w:numId="29">
    <w:abstractNumId w:val="28"/>
  </w:num>
  <w:num w:numId="30">
    <w:abstractNumId w:val="3"/>
  </w:num>
  <w:num w:numId="31">
    <w:abstractNumId w:val="19"/>
  </w:num>
  <w:num w:numId="32">
    <w:abstractNumId w:val="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E400E"/>
    <w:rsid w:val="000F2283"/>
    <w:rsid w:val="000F59DD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5C3A"/>
    <w:rsid w:val="001A620A"/>
    <w:rsid w:val="001A6EE0"/>
    <w:rsid w:val="001A7760"/>
    <w:rsid w:val="001B03CB"/>
    <w:rsid w:val="001C218E"/>
    <w:rsid w:val="001F2FE2"/>
    <w:rsid w:val="001F6F5E"/>
    <w:rsid w:val="001F727B"/>
    <w:rsid w:val="00201787"/>
    <w:rsid w:val="00204FE3"/>
    <w:rsid w:val="00222E35"/>
    <w:rsid w:val="00233542"/>
    <w:rsid w:val="0024174D"/>
    <w:rsid w:val="00267416"/>
    <w:rsid w:val="0027074D"/>
    <w:rsid w:val="00282B4B"/>
    <w:rsid w:val="002904FE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91D85"/>
    <w:rsid w:val="00394F8C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4315E"/>
    <w:rsid w:val="004516A3"/>
    <w:rsid w:val="00471643"/>
    <w:rsid w:val="00477C21"/>
    <w:rsid w:val="0049001F"/>
    <w:rsid w:val="00493292"/>
    <w:rsid w:val="004960BF"/>
    <w:rsid w:val="00497B1B"/>
    <w:rsid w:val="004B710B"/>
    <w:rsid w:val="004C4EDB"/>
    <w:rsid w:val="004D57E5"/>
    <w:rsid w:val="004E227D"/>
    <w:rsid w:val="004E237B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04E7"/>
    <w:rsid w:val="006332CA"/>
    <w:rsid w:val="00641383"/>
    <w:rsid w:val="006432D9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C5"/>
    <w:rsid w:val="007F6792"/>
    <w:rsid w:val="00802600"/>
    <w:rsid w:val="00815A99"/>
    <w:rsid w:val="008218DB"/>
    <w:rsid w:val="00822C10"/>
    <w:rsid w:val="00822D34"/>
    <w:rsid w:val="0082799D"/>
    <w:rsid w:val="008335C4"/>
    <w:rsid w:val="008352A8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7896"/>
    <w:rsid w:val="008B04A6"/>
    <w:rsid w:val="008C4BCB"/>
    <w:rsid w:val="008C58FC"/>
    <w:rsid w:val="008C6D78"/>
    <w:rsid w:val="008E41EC"/>
    <w:rsid w:val="008F2822"/>
    <w:rsid w:val="008F2F7C"/>
    <w:rsid w:val="00900795"/>
    <w:rsid w:val="00901A8D"/>
    <w:rsid w:val="00915AB8"/>
    <w:rsid w:val="009349AD"/>
    <w:rsid w:val="00937F45"/>
    <w:rsid w:val="009467FE"/>
    <w:rsid w:val="00950EC4"/>
    <w:rsid w:val="00952265"/>
    <w:rsid w:val="009804EF"/>
    <w:rsid w:val="009A10D4"/>
    <w:rsid w:val="009A13E4"/>
    <w:rsid w:val="009B1BDD"/>
    <w:rsid w:val="009B3ABB"/>
    <w:rsid w:val="009D0397"/>
    <w:rsid w:val="009D22FC"/>
    <w:rsid w:val="009D69F2"/>
    <w:rsid w:val="009E72CD"/>
    <w:rsid w:val="009F659F"/>
    <w:rsid w:val="00A10E9F"/>
    <w:rsid w:val="00A120B2"/>
    <w:rsid w:val="00A14C86"/>
    <w:rsid w:val="00A15259"/>
    <w:rsid w:val="00A27B47"/>
    <w:rsid w:val="00A335BA"/>
    <w:rsid w:val="00A40911"/>
    <w:rsid w:val="00A5248A"/>
    <w:rsid w:val="00A55DC0"/>
    <w:rsid w:val="00A57ABF"/>
    <w:rsid w:val="00A6396F"/>
    <w:rsid w:val="00A66AA9"/>
    <w:rsid w:val="00A70470"/>
    <w:rsid w:val="00A83FFF"/>
    <w:rsid w:val="00A92EC3"/>
    <w:rsid w:val="00A93A80"/>
    <w:rsid w:val="00A947D5"/>
    <w:rsid w:val="00A9675A"/>
    <w:rsid w:val="00AC64C2"/>
    <w:rsid w:val="00AD355D"/>
    <w:rsid w:val="00AD3C6C"/>
    <w:rsid w:val="00AF13E2"/>
    <w:rsid w:val="00AF4BB6"/>
    <w:rsid w:val="00B018DD"/>
    <w:rsid w:val="00B264D3"/>
    <w:rsid w:val="00B30E0D"/>
    <w:rsid w:val="00B318BF"/>
    <w:rsid w:val="00B51A38"/>
    <w:rsid w:val="00B52F76"/>
    <w:rsid w:val="00B549A9"/>
    <w:rsid w:val="00B553E1"/>
    <w:rsid w:val="00B606AE"/>
    <w:rsid w:val="00B6120D"/>
    <w:rsid w:val="00B64F0B"/>
    <w:rsid w:val="00B87103"/>
    <w:rsid w:val="00B96021"/>
    <w:rsid w:val="00BA5A99"/>
    <w:rsid w:val="00BA5FD3"/>
    <w:rsid w:val="00BB3F0F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53EE1"/>
    <w:rsid w:val="00D723B1"/>
    <w:rsid w:val="00D84AFA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C0005"/>
    <w:rsid w:val="00EC33B5"/>
    <w:rsid w:val="00F1100C"/>
    <w:rsid w:val="00F1379D"/>
    <w:rsid w:val="00F1611A"/>
    <w:rsid w:val="00F24C82"/>
    <w:rsid w:val="00F30D23"/>
    <w:rsid w:val="00F44EF4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01C9"/>
    <w:rsid w:val="00FB66C4"/>
    <w:rsid w:val="00FC7FA7"/>
    <w:rsid w:val="00FD1682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1984A89"/>
  <w15:docId w15:val="{5F1A8930-8EBF-402E-BBD2-44BBA95C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jakubec@pardubickykraj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dotaceeu.cz/cs/Microsites/IROP/Vyzvy/Vyzva-c-70-Vybrane-useky-silnic-II-a-III-tridy-I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90595-E32D-48B4-A083-72BBFACC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799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5507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Kunt Jiří Ing. Ph.D.</cp:lastModifiedBy>
  <cp:revision>21</cp:revision>
  <cp:lastPrinted>2019-02-15T10:09:00Z</cp:lastPrinted>
  <dcterms:created xsi:type="dcterms:W3CDTF">2018-04-10T06:29:00Z</dcterms:created>
  <dcterms:modified xsi:type="dcterms:W3CDTF">2019-05-02T10:50:00Z</dcterms:modified>
</cp:coreProperties>
</file>