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914" w:rsidRDefault="007A0914" w:rsidP="006D5CF4">
      <w:pPr>
        <w:ind w:left="567" w:hanging="567"/>
        <w:jc w:val="center"/>
        <w:rPr>
          <w:rFonts w:ascii="Arial" w:hAnsi="Arial" w:cs="Arial"/>
          <w:b/>
          <w:sz w:val="28"/>
          <w:szCs w:val="28"/>
        </w:rPr>
      </w:pPr>
      <w:bookmarkStart w:id="0" w:name="_GoBack"/>
      <w:bookmarkEnd w:id="0"/>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6F4EA3">
        <w:rPr>
          <w:rFonts w:ascii="Arial" w:hAnsi="Arial" w:cs="Arial"/>
          <w:b/>
          <w:color w:val="C00000"/>
          <w:sz w:val="28"/>
          <w:szCs w:val="28"/>
        </w:rPr>
        <w:t>(Doplní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7E4518">
        <w:rPr>
          <w:rFonts w:ascii="Arial" w:hAnsi="Arial" w:cs="Arial"/>
          <w:b/>
          <w:sz w:val="28"/>
          <w:szCs w:val="28"/>
        </w:rPr>
        <w:t>111</w:t>
      </w:r>
      <w:r w:rsidR="00BD2AED" w:rsidRPr="002C7D94">
        <w:rPr>
          <w:rFonts w:ascii="Arial" w:hAnsi="Arial" w:cs="Arial"/>
          <w:b/>
          <w:sz w:val="28"/>
          <w:szCs w:val="28"/>
        </w:rPr>
        <w:t>/</w:t>
      </w:r>
      <w:r w:rsidR="00392131">
        <w:rPr>
          <w:rFonts w:ascii="Arial" w:hAnsi="Arial" w:cs="Arial"/>
          <w:b/>
          <w:sz w:val="28"/>
          <w:szCs w:val="28"/>
        </w:rPr>
        <w:t>16</w:t>
      </w:r>
      <w:r w:rsidR="00BD2AED" w:rsidRPr="002C7D94">
        <w:rPr>
          <w:rFonts w:ascii="Arial" w:hAnsi="Arial" w:cs="Arial"/>
          <w:b/>
          <w:sz w:val="28"/>
          <w:szCs w:val="28"/>
        </w:rPr>
        <w:t xml:space="preserve"> ze dne </w:t>
      </w:r>
      <w:r w:rsidR="007E4518" w:rsidRPr="007E4518">
        <w:rPr>
          <w:rFonts w:ascii="Arial" w:hAnsi="Arial" w:cs="Arial"/>
          <w:b/>
          <w:sz w:val="28"/>
          <w:szCs w:val="28"/>
        </w:rPr>
        <w:t>19</w:t>
      </w:r>
      <w:r w:rsidR="00BD2AED" w:rsidRPr="007E4518">
        <w:rPr>
          <w:rFonts w:ascii="Arial" w:hAnsi="Arial" w:cs="Arial"/>
          <w:b/>
          <w:sz w:val="28"/>
          <w:szCs w:val="28"/>
        </w:rPr>
        <w:t>.</w:t>
      </w:r>
      <w:r w:rsidR="00392131" w:rsidRPr="007E4518">
        <w:rPr>
          <w:rFonts w:ascii="Arial" w:hAnsi="Arial" w:cs="Arial"/>
          <w:b/>
          <w:sz w:val="28"/>
          <w:szCs w:val="28"/>
        </w:rPr>
        <w:t xml:space="preserve"> </w:t>
      </w:r>
      <w:r w:rsidR="007E4518" w:rsidRPr="007E4518">
        <w:rPr>
          <w:rFonts w:ascii="Arial" w:hAnsi="Arial" w:cs="Arial"/>
          <w:b/>
          <w:sz w:val="28"/>
          <w:szCs w:val="28"/>
        </w:rPr>
        <w:t>12</w:t>
      </w:r>
      <w:r w:rsidR="00BD2AED" w:rsidRPr="007E4518">
        <w:rPr>
          <w:rFonts w:ascii="Arial" w:hAnsi="Arial" w:cs="Arial"/>
          <w:b/>
          <w:sz w:val="28"/>
          <w:szCs w:val="28"/>
        </w:rPr>
        <w:t>.</w:t>
      </w:r>
      <w:r w:rsidR="00392131" w:rsidRPr="007E4518">
        <w:rPr>
          <w:rFonts w:ascii="Arial" w:hAnsi="Arial" w:cs="Arial"/>
          <w:b/>
          <w:sz w:val="28"/>
          <w:szCs w:val="28"/>
        </w:rPr>
        <w:t xml:space="preserve"> </w:t>
      </w:r>
      <w:r w:rsidR="007E4518" w:rsidRPr="007E4518">
        <w:rPr>
          <w:rFonts w:ascii="Arial" w:hAnsi="Arial" w:cs="Arial"/>
          <w:b/>
          <w:sz w:val="28"/>
          <w:szCs w:val="28"/>
        </w:rPr>
        <w:t>20</w:t>
      </w:r>
      <w:r w:rsidR="007E4518">
        <w:rPr>
          <w:rFonts w:ascii="Arial" w:hAnsi="Arial" w:cs="Arial"/>
          <w:b/>
          <w:sz w:val="28"/>
          <w:szCs w:val="28"/>
        </w:rPr>
        <w:t>16</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E4724F">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E4724F">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nezapočítává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E4724F">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E4724F">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E4724F">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E4724F">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w:t>
      </w:r>
      <w:r w:rsidRPr="00453D0B">
        <w:rPr>
          <w:rFonts w:cs="Times New Roman"/>
          <w:sz w:val="22"/>
          <w:szCs w:val="22"/>
        </w:rPr>
        <w:lastRenderedPageBreak/>
        <w:t>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E4724F">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E4724F">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E4724F">
      <w:pPr>
        <w:spacing w:beforeLines="60" w:before="144" w:afterLines="60" w:after="144"/>
        <w:ind w:left="567" w:right="-24"/>
        <w:jc w:val="both"/>
        <w:rPr>
          <w:rFonts w:ascii="Arial" w:hAnsi="Arial" w:cs="Arial"/>
        </w:rPr>
      </w:pPr>
    </w:p>
    <w:p w:rsidR="002876CE" w:rsidRPr="00453D0B" w:rsidRDefault="002876CE" w:rsidP="00E4724F">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E4724F">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E4724F">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E4724F">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E4724F">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lastRenderedPageBreak/>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AE3CCE"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E4724F">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3D0B" w:rsidRDefault="00571E67" w:rsidP="00E4724F">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907B01" w:rsidP="00E4724F">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 xml:space="preserve">Zhotovitel prověří staveniště a seznámí se podrobně se všemi údaji a jinou dokumentací, které tvoří součást smlouvy. Je-li to žádoucí pro řádné splnění smlouvy, </w:t>
      </w:r>
      <w:r w:rsidRPr="00453D0B">
        <w:rPr>
          <w:rFonts w:ascii="Arial" w:hAnsi="Arial" w:cs="Arial"/>
          <w:color w:val="000000"/>
          <w:sz w:val="22"/>
        </w:rPr>
        <w:lastRenderedPageBreak/>
        <w:t>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E4724F">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E4724F">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E4724F">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453D0B" w:rsidRDefault="008D010C" w:rsidP="00E4724F">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E4724F">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E4724F">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E4724F">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7A0914" w:rsidP="00E4724F">
      <w:pPr>
        <w:pStyle w:val="Nadpis4"/>
        <w:spacing w:beforeLines="60" w:before="144" w:afterLines="60" w:after="144"/>
        <w:ind w:left="567" w:hanging="567"/>
        <w:rPr>
          <w:b/>
          <w:bCs/>
          <w:sz w:val="24"/>
        </w:rPr>
      </w:pPr>
      <w:r w:rsidRPr="00453D0B">
        <w:rPr>
          <w:b/>
          <w:sz w:val="24"/>
        </w:rPr>
        <w:lastRenderedPageBreak/>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E4724F">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E4724F">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E4724F">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E4724F">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E4724F">
      <w:pPr>
        <w:autoSpaceDE w:val="0"/>
        <w:autoSpaceDN w:val="0"/>
        <w:adjustRightInd w:val="0"/>
        <w:spacing w:beforeLines="60" w:before="144" w:afterLines="60" w:after="144"/>
        <w:ind w:left="567"/>
        <w:jc w:val="both"/>
        <w:rPr>
          <w:rFonts w:ascii="Arial" w:hAnsi="Arial" w:cs="Arial"/>
          <w:color w:val="000000"/>
          <w:sz w:val="22"/>
        </w:rPr>
      </w:pPr>
    </w:p>
    <w:p w:rsidR="00EF117F" w:rsidRPr="00453D0B" w:rsidRDefault="00EF117F" w:rsidP="00E4724F">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E4724F">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E4724F">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případě, že nebude mít finanční prostředky pro pokračování realizace díla. V</w:t>
      </w:r>
      <w:r w:rsidR="006A1549" w:rsidRPr="00453D0B">
        <w:rPr>
          <w:rFonts w:ascii="Arial" w:hAnsi="Arial" w:cs="Arial"/>
          <w:color w:val="000000"/>
          <w:sz w:val="22"/>
        </w:rPr>
        <w:t> </w:t>
      </w:r>
      <w:r w:rsidRPr="00453D0B">
        <w:rPr>
          <w:rFonts w:ascii="Arial" w:hAnsi="Arial" w:cs="Arial"/>
          <w:color w:val="000000"/>
          <w:sz w:val="22"/>
        </w:rPr>
        <w:t>tomto případě má zhotovitel nárok na zaplacení poměrné části smluvní ceny díla odpovídající rozsahu provedeného díla.</w:t>
      </w:r>
    </w:p>
    <w:p w:rsidR="00EF117F"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3D0B" w:rsidRDefault="00EF117F"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E4724F">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E4724F">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E4724F">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3D0B" w:rsidRDefault="00446187" w:rsidP="00E4724F">
      <w:pPr>
        <w:numPr>
          <w:ilvl w:val="12"/>
          <w:numId w:val="0"/>
        </w:numPr>
        <w:spacing w:beforeLines="60" w:before="144" w:afterLines="60" w:after="144"/>
        <w:ind w:left="567" w:hanging="567"/>
        <w:jc w:val="center"/>
        <w:rPr>
          <w:rFonts w:ascii="Arial" w:hAnsi="Arial" w:cs="Arial"/>
        </w:rPr>
      </w:pPr>
      <w:r w:rsidRPr="00453D0B">
        <w:rPr>
          <w:rFonts w:ascii="Arial" w:hAnsi="Arial" w:cs="Arial"/>
          <w:b/>
        </w:rPr>
        <w:lastRenderedPageBreak/>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Schválení dokumentu změny díla objednatelem a vyslovení souhlasu s provedením změn bude provedeno takto:</w:t>
      </w:r>
    </w:p>
    <w:p w:rsidR="007A0914" w:rsidRPr="00453D0B" w:rsidRDefault="007A0914" w:rsidP="00E4724F">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3D0B" w:rsidRDefault="007A0914" w:rsidP="00E4724F">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xml:space="preserve">, pokud z některého ustanovení smlouvy </w:t>
      </w:r>
      <w:r w:rsidRPr="00453D0B">
        <w:rPr>
          <w:rFonts w:ascii="Arial" w:hAnsi="Arial" w:cs="Arial"/>
          <w:color w:val="000000"/>
          <w:sz w:val="22"/>
        </w:rPr>
        <w:lastRenderedPageBreak/>
        <w:t>nevyplývá jinak. Při nedodržení této povinnosti zhotovitelem má objednatel právo odstoupit od smlouvy.</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E4724F">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E4724F">
      <w:pPr>
        <w:pStyle w:val="Odstavec0"/>
        <w:spacing w:beforeLines="60" w:before="144" w:afterLines="60" w:after="144"/>
        <w:ind w:left="567" w:hanging="567"/>
        <w:rPr>
          <w:rFonts w:cs="Arial"/>
          <w:sz w:val="22"/>
          <w:lang w:val="cs-CZ"/>
        </w:rPr>
      </w:pPr>
    </w:p>
    <w:p w:rsidR="007A0914" w:rsidRPr="00453D0B" w:rsidRDefault="007A0914" w:rsidP="00E4724F">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E4724F">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E4724F">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E4724F">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AE3CCE">
      <w:pPr>
        <w:pStyle w:val="Odstavec0"/>
        <w:spacing w:beforeLines="60" w:before="144" w:afterLines="60" w:after="144"/>
        <w:ind w:left="567" w:hanging="567"/>
        <w:rPr>
          <w:rFonts w:cs="Arial"/>
          <w:sz w:val="22"/>
          <w:szCs w:val="24"/>
          <w:lang w:val="cs-CZ"/>
        </w:rPr>
      </w:pPr>
    </w:p>
    <w:sectPr w:rsidR="006D5CF4" w:rsidRPr="00453D0B" w:rsidSect="00DB0D11">
      <w:footerReference w:type="even" r:id="rId8"/>
      <w:footerReference w:type="default" r:id="rId9"/>
      <w:headerReference w:type="first" r:id="rId10"/>
      <w:footerReference w:type="first" r:id="rId11"/>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Default="00AE3CCE"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Pr="0017022C" w:rsidRDefault="00187AD7"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AE3CCE"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AE3CCE" w:rsidRPr="00F37423">
      <w:rPr>
        <w:rFonts w:ascii="Arial" w:hAnsi="Arial" w:cs="Arial"/>
        <w:sz w:val="18"/>
        <w:szCs w:val="18"/>
      </w:rPr>
      <w:fldChar w:fldCharType="separate"/>
    </w:r>
    <w:r w:rsidR="00883542">
      <w:rPr>
        <w:rFonts w:ascii="Arial" w:hAnsi="Arial" w:cs="Arial"/>
        <w:noProof/>
        <w:sz w:val="18"/>
        <w:szCs w:val="18"/>
      </w:rPr>
      <w:t>6</w:t>
    </w:r>
    <w:r w:rsidR="00AE3CCE" w:rsidRPr="00F37423">
      <w:rPr>
        <w:rFonts w:ascii="Arial" w:hAnsi="Arial" w:cs="Arial"/>
        <w:sz w:val="18"/>
        <w:szCs w:val="18"/>
      </w:rPr>
      <w:fldChar w:fldCharType="end"/>
    </w:r>
    <w:r w:rsidRPr="00F37423">
      <w:rPr>
        <w:rFonts w:ascii="Arial" w:hAnsi="Arial" w:cs="Arial"/>
        <w:sz w:val="18"/>
        <w:szCs w:val="18"/>
      </w:rPr>
      <w:t xml:space="preserve"> (celkem </w:t>
    </w:r>
    <w:r w:rsidR="00AE3CCE"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AE3CCE" w:rsidRPr="00F37423">
      <w:rPr>
        <w:rFonts w:ascii="Arial" w:hAnsi="Arial" w:cs="Arial"/>
        <w:sz w:val="18"/>
        <w:szCs w:val="18"/>
      </w:rPr>
      <w:fldChar w:fldCharType="separate"/>
    </w:r>
    <w:r w:rsidR="00883542">
      <w:rPr>
        <w:rFonts w:ascii="Arial" w:hAnsi="Arial" w:cs="Arial"/>
        <w:noProof/>
        <w:sz w:val="18"/>
        <w:szCs w:val="18"/>
      </w:rPr>
      <w:t>11</w:t>
    </w:r>
    <w:r w:rsidR="00AE3CCE"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FF9" w:rsidRDefault="00BB5FF9">
    <w:pPr>
      <w:pStyle w:val="Zpat"/>
    </w:pPr>
    <w:r>
      <w:rPr>
        <w:rFonts w:ascii="Arial" w:hAnsi="Arial" w:cs="Arial"/>
        <w:sz w:val="18"/>
        <w:szCs w:val="18"/>
      </w:rPr>
      <w:tab/>
    </w:r>
    <w:r w:rsidRPr="00F37423">
      <w:rPr>
        <w:rFonts w:ascii="Arial" w:hAnsi="Arial" w:cs="Arial"/>
        <w:sz w:val="18"/>
        <w:szCs w:val="18"/>
      </w:rPr>
      <w:t xml:space="preserve">Strana </w:t>
    </w:r>
    <w:r w:rsidR="00AE3CCE"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AE3CCE" w:rsidRPr="00F37423">
      <w:rPr>
        <w:rFonts w:ascii="Arial" w:hAnsi="Arial" w:cs="Arial"/>
        <w:sz w:val="18"/>
        <w:szCs w:val="18"/>
      </w:rPr>
      <w:fldChar w:fldCharType="separate"/>
    </w:r>
    <w:r w:rsidR="00883542">
      <w:rPr>
        <w:rFonts w:ascii="Arial" w:hAnsi="Arial" w:cs="Arial"/>
        <w:noProof/>
        <w:sz w:val="18"/>
        <w:szCs w:val="18"/>
      </w:rPr>
      <w:t>1</w:t>
    </w:r>
    <w:r w:rsidR="00AE3CCE" w:rsidRPr="00F37423">
      <w:rPr>
        <w:rFonts w:ascii="Arial" w:hAnsi="Arial" w:cs="Arial"/>
        <w:sz w:val="18"/>
        <w:szCs w:val="18"/>
      </w:rPr>
      <w:fldChar w:fldCharType="end"/>
    </w:r>
    <w:r w:rsidRPr="00F37423">
      <w:rPr>
        <w:rFonts w:ascii="Arial" w:hAnsi="Arial" w:cs="Arial"/>
        <w:sz w:val="18"/>
        <w:szCs w:val="18"/>
      </w:rPr>
      <w:t xml:space="preserve"> (celkem </w:t>
    </w:r>
    <w:r w:rsidR="00AE3CCE"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AE3CCE" w:rsidRPr="00F37423">
      <w:rPr>
        <w:rFonts w:ascii="Arial" w:hAnsi="Arial" w:cs="Arial"/>
        <w:sz w:val="18"/>
        <w:szCs w:val="18"/>
      </w:rPr>
      <w:fldChar w:fldCharType="separate"/>
    </w:r>
    <w:r w:rsidR="00883542">
      <w:rPr>
        <w:rFonts w:ascii="Arial" w:hAnsi="Arial" w:cs="Arial"/>
        <w:noProof/>
        <w:sz w:val="18"/>
        <w:szCs w:val="18"/>
      </w:rPr>
      <w:t>11</w:t>
    </w:r>
    <w:r w:rsidR="00AE3CCE"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Pr="00BB5FF9">
      <w:rPr>
        <w:rFonts w:ascii="Arial" w:hAnsi="Arial" w:cs="Arial"/>
        <w:b/>
        <w:color w:val="FF0000"/>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Pr="00E31EB2" w:rsidRDefault="00BB5FF9">
    <w:pPr>
      <w:pStyle w:val="Zhlav"/>
      <w:rPr>
        <w:rFonts w:ascii="Arial" w:hAnsi="Arial" w:cs="Arial"/>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417190"/>
    <w:rsid w:val="00422B4C"/>
    <w:rsid w:val="00426D7D"/>
    <w:rsid w:val="00427DED"/>
    <w:rsid w:val="00430DC6"/>
    <w:rsid w:val="004418B5"/>
    <w:rsid w:val="00446187"/>
    <w:rsid w:val="00450A8E"/>
    <w:rsid w:val="00453D0B"/>
    <w:rsid w:val="004610A6"/>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E2DA7"/>
    <w:rsid w:val="007E4518"/>
    <w:rsid w:val="007E489D"/>
    <w:rsid w:val="007E4D44"/>
    <w:rsid w:val="007F13A8"/>
    <w:rsid w:val="007F728F"/>
    <w:rsid w:val="0080749D"/>
    <w:rsid w:val="0081371B"/>
    <w:rsid w:val="00814985"/>
    <w:rsid w:val="008174EA"/>
    <w:rsid w:val="00827F6B"/>
    <w:rsid w:val="008325A4"/>
    <w:rsid w:val="0083316B"/>
    <w:rsid w:val="00835E4F"/>
    <w:rsid w:val="00852C96"/>
    <w:rsid w:val="00856B42"/>
    <w:rsid w:val="008630B0"/>
    <w:rsid w:val="008806A9"/>
    <w:rsid w:val="00883542"/>
    <w:rsid w:val="0088687E"/>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70E8"/>
    <w:rsid w:val="00980F51"/>
    <w:rsid w:val="009957F4"/>
    <w:rsid w:val="009C4159"/>
    <w:rsid w:val="009E025D"/>
    <w:rsid w:val="009E49C8"/>
    <w:rsid w:val="009F3BB7"/>
    <w:rsid w:val="009F466E"/>
    <w:rsid w:val="009F5F9D"/>
    <w:rsid w:val="00A009AE"/>
    <w:rsid w:val="00A01DA3"/>
    <w:rsid w:val="00A16303"/>
    <w:rsid w:val="00A357F5"/>
    <w:rsid w:val="00A40C1F"/>
    <w:rsid w:val="00A54021"/>
    <w:rsid w:val="00A56845"/>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60FD8"/>
    <w:rsid w:val="00B65DC4"/>
    <w:rsid w:val="00B80BD9"/>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4724F"/>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0E706A2-9B25-44A3-B13B-38D3D5F9C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ADCD6-CA6C-46C3-AA71-DE8FCAD84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4944</Words>
  <Characters>29173</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34049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Hrdinová Jaroslava Ing.</cp:lastModifiedBy>
  <cp:revision>2</cp:revision>
  <cp:lastPrinted>2013-02-20T08:10:00Z</cp:lastPrinted>
  <dcterms:created xsi:type="dcterms:W3CDTF">2019-04-10T06:27:00Z</dcterms:created>
  <dcterms:modified xsi:type="dcterms:W3CDTF">2019-04-10T06:27:00Z</dcterms:modified>
</cp:coreProperties>
</file>